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2021年度</w:t>
      </w:r>
    </w:p>
    <w:p>
      <w:pPr>
        <w:pStyle w:val="10"/>
        <w:jc w:val="center"/>
        <w:rPr>
          <w:sz w:val="84"/>
          <w:szCs w:val="84"/>
        </w:rPr>
      </w:pPr>
      <w:r>
        <w:rPr>
          <w:rFonts w:hint="eastAsia"/>
          <w:sz w:val="84"/>
          <w:szCs w:val="84"/>
        </w:rPr>
        <w:t>湖南省生物研究所部门决算</w:t>
      </w: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40" w:lineRule="exact"/>
        <w:jc w:val="center"/>
        <w:rPr>
          <w:sz w:val="56"/>
          <w:szCs w:val="56"/>
        </w:rPr>
      </w:pPr>
    </w:p>
    <w:p>
      <w:pPr>
        <w:pStyle w:val="10"/>
        <w:spacing w:line="500" w:lineRule="exact"/>
        <w:jc w:val="center"/>
        <w:rPr>
          <w:b/>
          <w:sz w:val="36"/>
          <w:szCs w:val="28"/>
        </w:rPr>
      </w:pPr>
    </w:p>
    <w:p>
      <w:pPr>
        <w:pStyle w:val="10"/>
        <w:spacing w:line="500" w:lineRule="exact"/>
        <w:jc w:val="center"/>
        <w:rPr>
          <w:b/>
          <w:sz w:val="36"/>
          <w:szCs w:val="28"/>
        </w:rPr>
      </w:pPr>
    </w:p>
    <w:p>
      <w:pPr>
        <w:pStyle w:val="10"/>
        <w:spacing w:line="500" w:lineRule="exact"/>
        <w:jc w:val="center"/>
        <w:rPr>
          <w:b/>
          <w:sz w:val="36"/>
          <w:szCs w:val="28"/>
        </w:rPr>
      </w:pPr>
      <w:r>
        <w:rPr>
          <w:rFonts w:hint="eastAsia"/>
          <w:b/>
          <w:sz w:val="36"/>
          <w:szCs w:val="28"/>
        </w:rPr>
        <w:t>目录</w:t>
      </w:r>
    </w:p>
    <w:p>
      <w:pPr>
        <w:pStyle w:val="10"/>
        <w:spacing w:line="500" w:lineRule="exact"/>
        <w:rPr>
          <w:rFonts w:ascii="仿宋_GB2312" w:hAnsi="仿宋_GB2312" w:cs="仿宋_GB2312"/>
          <w:b/>
          <w:sz w:val="28"/>
          <w:szCs w:val="28"/>
        </w:rPr>
      </w:pPr>
      <w:r>
        <w:rPr>
          <w:rFonts w:hint="eastAsia"/>
          <w:b/>
          <w:sz w:val="28"/>
          <w:szCs w:val="28"/>
        </w:rPr>
        <w:t>第一部分 湖南省生物研究所概况</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0"/>
        <w:spacing w:line="500" w:lineRule="exact"/>
        <w:rPr>
          <w:rFonts w:ascii="仿宋_GB2312" w:hAnsi="仿宋_GB2312" w:cs="仿宋_GB2312"/>
          <w:b/>
          <w:sz w:val="28"/>
          <w:szCs w:val="28"/>
        </w:rPr>
      </w:pPr>
      <w:r>
        <w:rPr>
          <w:rFonts w:hint="eastAsia" w:hAnsi="仿宋_GB2312"/>
          <w:b/>
          <w:sz w:val="28"/>
          <w:szCs w:val="28"/>
        </w:rPr>
        <w:t xml:space="preserve">第二部分 </w:t>
      </w:r>
      <w:r>
        <w:rPr>
          <w:rFonts w:hAnsi="仿宋_GB2312"/>
          <w:b/>
          <w:sz w:val="28"/>
          <w:szCs w:val="28"/>
        </w:rPr>
        <w:t>20</w:t>
      </w:r>
      <w:r>
        <w:rPr>
          <w:rFonts w:hint="eastAsia" w:hAnsi="仿宋_GB2312"/>
          <w:b/>
          <w:sz w:val="28"/>
          <w:szCs w:val="28"/>
        </w:rPr>
        <w:t>21年度部门决算表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0"/>
        <w:spacing w:line="500" w:lineRule="exact"/>
        <w:rPr>
          <w:rFonts w:ascii="仿宋_GB2312" w:hAnsi="仿宋_GB2312" w:cs="仿宋_GB2312"/>
          <w:b/>
          <w:sz w:val="28"/>
          <w:szCs w:val="28"/>
        </w:rPr>
      </w:pPr>
      <w:r>
        <w:rPr>
          <w:rFonts w:hint="eastAsia" w:hAnsi="仿宋_GB2312"/>
          <w:b/>
          <w:sz w:val="28"/>
          <w:szCs w:val="28"/>
        </w:rPr>
        <w:t xml:space="preserve">第三部分 </w:t>
      </w:r>
      <w:r>
        <w:rPr>
          <w:rFonts w:hAnsi="仿宋_GB2312"/>
          <w:b/>
          <w:sz w:val="28"/>
          <w:szCs w:val="28"/>
        </w:rPr>
        <w:t>20</w:t>
      </w:r>
      <w:r>
        <w:rPr>
          <w:rFonts w:hint="eastAsia" w:hAnsi="仿宋_GB2312"/>
          <w:b/>
          <w:sz w:val="28"/>
          <w:szCs w:val="28"/>
        </w:rPr>
        <w:t>21年度部门决算情况说明</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w:t>
      </w:r>
      <w:r>
        <w:rPr>
          <w:rFonts w:hint="eastAsia" w:ascii="黑体" w:hAnsi="黑体" w:eastAsia="黑体" w:cs="黑体"/>
          <w:b/>
          <w:color w:val="000000"/>
          <w:kern w:val="0"/>
          <w:sz w:val="28"/>
          <w:szCs w:val="28"/>
        </w:rPr>
        <w:t xml:space="preserve"> </w:t>
      </w:r>
      <w:r>
        <w:rPr>
          <w:rFonts w:ascii="黑体" w:hAnsi="黑体" w:eastAsia="黑体" w:cs="黑体"/>
          <w:b/>
          <w:color w:val="000000"/>
          <w:kern w:val="0"/>
          <w:sz w:val="28"/>
          <w:szCs w:val="28"/>
        </w:rPr>
        <w:t>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 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sz w:val="84"/>
          <w:szCs w:val="84"/>
        </w:rPr>
      </w:pPr>
      <w:r>
        <w:rPr>
          <w:rFonts w:hint="eastAsia"/>
          <w:sz w:val="84"/>
          <w:szCs w:val="84"/>
        </w:rPr>
        <w:t>第一部分</w:t>
      </w:r>
      <w:r>
        <w:rPr>
          <w:sz w:val="84"/>
          <w:szCs w:val="84"/>
        </w:rPr>
        <w:t xml:space="preserve"> </w:t>
      </w:r>
    </w:p>
    <w:p>
      <w:pPr>
        <w:pStyle w:val="10"/>
        <w:jc w:val="center"/>
        <w:rPr>
          <w:sz w:val="84"/>
          <w:szCs w:val="84"/>
        </w:rPr>
      </w:pPr>
    </w:p>
    <w:p>
      <w:pPr>
        <w:pStyle w:val="10"/>
        <w:jc w:val="center"/>
        <w:rPr>
          <w:sz w:val="84"/>
          <w:szCs w:val="84"/>
        </w:rPr>
      </w:pPr>
      <w:r>
        <w:rPr>
          <w:rFonts w:hint="eastAsia"/>
          <w:sz w:val="84"/>
          <w:szCs w:val="84"/>
        </w:rPr>
        <w:t>湖南省生物研究所概况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widowControl/>
        <w:spacing w:line="600" w:lineRule="exact"/>
        <w:ind w:firstLine="640" w:firstLineChars="200"/>
        <w:rPr>
          <w:rFonts w:asciiTheme="minorEastAsia" w:hAnsiTheme="minorEastAsia"/>
          <w:sz w:val="32"/>
          <w:szCs w:val="32"/>
        </w:rPr>
      </w:pPr>
      <w:r>
        <w:rPr>
          <w:rFonts w:hint="eastAsia" w:asciiTheme="minorEastAsia" w:hAnsiTheme="minorEastAsia"/>
          <w:sz w:val="32"/>
          <w:szCs w:val="32"/>
        </w:rPr>
        <w:t>湖南省生物研究所是1985年经省委、省政府同意设立，与湖南师范大学生命科学学院实行所院结合体制，是省属公益II类科研院所；宗旨是开展生物学理论研究，促进科技发展。主要业务范围是开展生命科学领域基础理论及应用基础理论研究；开展相关学科人才培养与学术活动；开展蛋白质化学检测等技术服务以及科普宣传等社会公益服务。</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（一）内设机构设置。</w:t>
      </w:r>
    </w:p>
    <w:p>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湖南省生物研究所是1985年经省委、省政府同意设立，与湖南师范大学生命科学学院实行所院结合体制，是省属公益II类科研院所，其人事、科研等工作由湖南师范大学统一管理，财务及资产工作由省科技厅管理。</w:t>
      </w:r>
    </w:p>
    <w:p>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本单位内设8个研究和管理处室，分别是鱼类遗传育种中心、经济动物研究室、植物生物学实验室、多肽药物工程中心、动物营养实验室、与健康实验中心、所办公室、所财务室。</w:t>
      </w:r>
    </w:p>
    <w:p>
      <w:pPr>
        <w:widowControl/>
        <w:spacing w:line="600" w:lineRule="exact"/>
        <w:ind w:firstLine="640" w:firstLineChars="200"/>
        <w:rPr>
          <w:rFonts w:hint="eastAsia" w:asciiTheme="minorEastAsia" w:hAnsiTheme="minorEastAsia"/>
          <w:bCs/>
          <w:kern w:val="0"/>
          <w:sz w:val="32"/>
          <w:szCs w:val="32"/>
        </w:rPr>
      </w:pPr>
      <w:r>
        <w:rPr>
          <w:rFonts w:hint="eastAsia" w:asciiTheme="minorEastAsia" w:hAnsiTheme="minorEastAsia"/>
          <w:bCs/>
          <w:kern w:val="0"/>
          <w:sz w:val="32"/>
          <w:szCs w:val="32"/>
        </w:rPr>
        <w:t>全所事业编制人数60人，编制内实有在职人数46人，其中6人为新入职人员。全所高级职称24人，中级职称的12人；退休人员19人（年内退休1人），无离休人员。</w:t>
      </w:r>
    </w:p>
    <w:p>
      <w:pPr>
        <w:widowControl/>
        <w:spacing w:line="600" w:lineRule="exact"/>
        <w:ind w:firstLine="640" w:firstLineChars="200"/>
        <w:rPr>
          <w:rFonts w:hint="eastAsia" w:asciiTheme="minorEastAsia" w:hAnsiTheme="minorEastAsia" w:eastAsiaTheme="minorEastAsia"/>
          <w:bCs/>
          <w:kern w:val="0"/>
          <w:sz w:val="32"/>
          <w:szCs w:val="32"/>
          <w:lang w:val="en-US" w:eastAsia="zh-CN"/>
        </w:rPr>
      </w:pPr>
      <w:r>
        <w:rPr>
          <w:rFonts w:hint="eastAsia" w:asciiTheme="minorEastAsia" w:hAnsiTheme="minorEastAsia"/>
          <w:bCs/>
          <w:kern w:val="0"/>
          <w:sz w:val="32"/>
          <w:szCs w:val="32"/>
          <w:lang w:val="en-US" w:eastAsia="zh-CN"/>
        </w:rPr>
        <w:t>湖南省生物研究所无下属单位，本次决算即本单位决算。</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6"/>
        <w:tblW w:w="15380" w:type="dxa"/>
        <w:tblInd w:w="186" w:type="dxa"/>
        <w:tblLayout w:type="autofit"/>
        <w:tblCellMar>
          <w:top w:w="0" w:type="dxa"/>
          <w:left w:w="108" w:type="dxa"/>
          <w:bottom w:w="0" w:type="dxa"/>
          <w:right w:w="108" w:type="dxa"/>
        </w:tblCellMar>
      </w:tblPr>
      <w:tblGrid>
        <w:gridCol w:w="15380"/>
      </w:tblGrid>
      <w:tr>
        <w:tblPrEx>
          <w:tblCellMar>
            <w:top w:w="0" w:type="dxa"/>
            <w:left w:w="108" w:type="dxa"/>
            <w:bottom w:w="0" w:type="dxa"/>
            <w:right w:w="108" w:type="dxa"/>
          </w:tblCellMar>
        </w:tblPrEx>
        <w:trPr>
          <w:trHeight w:val="360" w:hRule="atLeast"/>
        </w:trPr>
        <w:tc>
          <w:tcPr>
            <w:tcW w:w="15380" w:type="dxa"/>
            <w:tcBorders>
              <w:top w:val="nil"/>
              <w:left w:val="nil"/>
              <w:bottom w:val="nil"/>
              <w:right w:val="nil"/>
            </w:tcBorders>
            <w:shd w:val="clear" w:color="auto" w:fill="auto"/>
            <w:noWrap/>
            <w:vAlign w:val="center"/>
          </w:tcPr>
          <w:p/>
          <w:p/>
          <w:tbl>
            <w:tblPr>
              <w:tblStyle w:val="6"/>
              <w:tblW w:w="4565" w:type="pct"/>
              <w:jc w:val="center"/>
              <w:tblLayout w:type="autofit"/>
              <w:tblCellMar>
                <w:top w:w="0" w:type="dxa"/>
                <w:left w:w="108" w:type="dxa"/>
                <w:bottom w:w="0" w:type="dxa"/>
                <w:right w:w="108" w:type="dxa"/>
              </w:tblCellMar>
            </w:tblPr>
            <w:tblGrid>
              <w:gridCol w:w="4042"/>
              <w:gridCol w:w="828"/>
              <w:gridCol w:w="2235"/>
              <w:gridCol w:w="3805"/>
              <w:gridCol w:w="828"/>
              <w:gridCol w:w="2107"/>
            </w:tblGrid>
            <w:tr>
              <w:tblPrEx>
                <w:tblCellMar>
                  <w:top w:w="0" w:type="dxa"/>
                  <w:left w:w="108" w:type="dxa"/>
                  <w:bottom w:w="0" w:type="dxa"/>
                  <w:right w:w="108" w:type="dxa"/>
                </w:tblCellMar>
              </w:tblPrEx>
              <w:trPr>
                <w:trHeight w:val="378" w:hRule="atLeast"/>
                <w:jc w:val="center"/>
              </w:trPr>
              <w:tc>
                <w:tcPr>
                  <w:tcW w:w="5000" w:type="pct"/>
                  <w:gridSpan w:val="6"/>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10"/>
                      <w:szCs w:val="10"/>
                    </w:rPr>
                  </w:pPr>
                  <w:r>
                    <w:rPr>
                      <w:rFonts w:hint="eastAsia" w:ascii="黑体" w:hAnsi="黑体" w:eastAsia="黑体" w:cs="Arial"/>
                      <w:color w:val="000000"/>
                      <w:kern w:val="0"/>
                      <w:sz w:val="30"/>
                      <w:szCs w:val="30"/>
                    </w:rPr>
                    <w:t>收入支出决算总表</w:t>
                  </w:r>
                </w:p>
                <w:p>
                  <w:pPr>
                    <w:widowControl/>
                    <w:jc w:val="center"/>
                    <w:rPr>
                      <w:rFonts w:ascii="黑体" w:hAnsi="黑体" w:eastAsia="黑体" w:cs="Arial"/>
                      <w:color w:val="000000"/>
                      <w:kern w:val="0"/>
                      <w:sz w:val="10"/>
                      <w:szCs w:val="10"/>
                    </w:rPr>
                  </w:pPr>
                </w:p>
              </w:tc>
            </w:tr>
            <w:tr>
              <w:tblPrEx>
                <w:tblCellMar>
                  <w:top w:w="0" w:type="dxa"/>
                  <w:left w:w="108" w:type="dxa"/>
                  <w:bottom w:w="0" w:type="dxa"/>
                  <w:right w:w="108" w:type="dxa"/>
                </w:tblCellMar>
              </w:tblPrEx>
              <w:trPr>
                <w:trHeight w:val="302" w:hRule="atLeast"/>
                <w:jc w:val="center"/>
              </w:trPr>
              <w:tc>
                <w:tcPr>
                  <w:tcW w:w="1460" w:type="pct"/>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0"/>
                      <w:szCs w:val="30"/>
                    </w:rPr>
                  </w:pPr>
                </w:p>
              </w:tc>
              <w:tc>
                <w:tcPr>
                  <w:tcW w:w="299"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807"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374"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99"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761" w:type="pct"/>
                  <w:tcBorders>
                    <w:top w:val="nil"/>
                    <w:left w:val="nil"/>
                    <w:bottom w:val="nil"/>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公开01表</w:t>
                  </w:r>
                </w:p>
              </w:tc>
            </w:tr>
            <w:tr>
              <w:tblPrEx>
                <w:tblCellMar>
                  <w:top w:w="0" w:type="dxa"/>
                  <w:left w:w="108" w:type="dxa"/>
                  <w:bottom w:w="0" w:type="dxa"/>
                  <w:right w:w="108" w:type="dxa"/>
                </w:tblCellMar>
              </w:tblPrEx>
              <w:trPr>
                <w:trHeight w:val="302" w:hRule="atLeast"/>
                <w:jc w:val="center"/>
              </w:trPr>
              <w:tc>
                <w:tcPr>
                  <w:tcW w:w="1460"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部门：湖南省生物研究所</w:t>
                  </w:r>
                </w:p>
              </w:tc>
              <w:tc>
                <w:tcPr>
                  <w:tcW w:w="299"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807" w:type="pct"/>
                  <w:tcBorders>
                    <w:top w:val="nil"/>
                    <w:left w:val="nil"/>
                    <w:bottom w:val="single" w:color="808080" w:sz="4" w:space="0"/>
                    <w:right w:val="nil"/>
                  </w:tcBorders>
                  <w:shd w:val="clear" w:color="auto" w:fill="auto"/>
                  <w:noWrap/>
                  <w:vAlign w:val="center"/>
                </w:tcPr>
                <w:p>
                  <w:pPr>
                    <w:widowControl/>
                    <w:jc w:val="center"/>
                    <w:rPr>
                      <w:rFonts w:ascii="宋体" w:hAnsi="宋体" w:eastAsia="宋体" w:cs="Arial"/>
                      <w:color w:val="000000"/>
                      <w:kern w:val="0"/>
                      <w:sz w:val="24"/>
                      <w:szCs w:val="24"/>
                    </w:rPr>
                  </w:pPr>
                  <w:r>
                    <w:rPr>
                      <w:rFonts w:ascii="宋体" w:hAnsi="宋体" w:eastAsia="宋体" w:cs="Arial"/>
                      <w:color w:val="000000"/>
                      <w:kern w:val="0"/>
                      <w:sz w:val="24"/>
                      <w:szCs w:val="24"/>
                    </w:rPr>
                    <w:t xml:space="preserve">        </w:t>
                  </w:r>
                  <w:r>
                    <w:rPr>
                      <w:rFonts w:hint="eastAsia" w:ascii="宋体" w:hAnsi="宋体" w:eastAsia="宋体" w:cs="Arial"/>
                      <w:color w:val="000000"/>
                      <w:kern w:val="0"/>
                      <w:sz w:val="24"/>
                      <w:szCs w:val="24"/>
                    </w:rPr>
                    <w:t>2021年度</w:t>
                  </w:r>
                </w:p>
              </w:tc>
              <w:tc>
                <w:tcPr>
                  <w:tcW w:w="1374"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99"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761" w:type="pct"/>
                  <w:tcBorders>
                    <w:top w:val="nil"/>
                    <w:left w:val="nil"/>
                    <w:bottom w:val="single" w:color="808080" w:sz="4" w:space="0"/>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金额单位：元</w:t>
                  </w:r>
                </w:p>
              </w:tc>
            </w:tr>
            <w:tr>
              <w:tblPrEx>
                <w:tblCellMar>
                  <w:top w:w="0" w:type="dxa"/>
                  <w:left w:w="108" w:type="dxa"/>
                  <w:bottom w:w="0" w:type="dxa"/>
                  <w:right w:w="108" w:type="dxa"/>
                </w:tblCellMar>
              </w:tblPrEx>
              <w:trPr>
                <w:trHeight w:val="302" w:hRule="atLeast"/>
                <w:jc w:val="center"/>
              </w:trPr>
              <w:tc>
                <w:tcPr>
                  <w:tcW w:w="2566"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收入</w:t>
                  </w:r>
                </w:p>
              </w:tc>
              <w:tc>
                <w:tcPr>
                  <w:tcW w:w="2434" w:type="pct"/>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支出</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行次</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金额</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行次</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金额</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栏次</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栏次</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一、一般公共预算财政拨款收入</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3,931,800.00</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一、一般公共服务支出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32</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二、政府性基金预算财政拨款收入</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二、外交支出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33</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三、国有资本经营预算财政拨款收入</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三、国防支出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34</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四、上级补助收入</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四、公共安全支出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35</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五、事业收入</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145,615.64</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五、教育支出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36</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六、经营收入</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六、科学技术支出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37</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9,115,078.99</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七、附属单位上缴收入</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七、文化旅游体育与传媒支出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38</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八、其他收入</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6,590,140.76</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八、社会保障和就业支出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39</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1,050,000.00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九、卫生健康支出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40</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10</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十、节能环保支出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41</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11</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十一、城乡社区支出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42</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12</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十二、农林水支出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43</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13</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十三、交通运输支出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44</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14</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十四、资源勘探工业信息等支出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45</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15</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十五、商业服务业等支出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46</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16</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十六、金融支出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47</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17</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十七、援助其他地区支出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48</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18</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十八、自然资源海洋气象等支出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49</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19</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十九、住房保障支出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50</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651,800.00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20</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二十、粮油物资储备支出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51</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21</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二十一、国有资本经营预算支出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52</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22</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二十二、灾害防治及应急管理支出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53</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23</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二十三、其他支出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54</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24</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二十四、债务还本支出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55</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25</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二十五、债务付息支出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56</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26</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二十六、抗疫特别国债安排的支出</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57</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本年收入合计</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27</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10,667,556.40</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本年支出合计</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58</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10,816,878.99</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使用非财政拨款结余</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28</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149,322.59</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结余分配</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59</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年初结转和结余</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29</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年末结转和结余</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60</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30</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61</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2" w:hRule="atLeast"/>
                <w:jc w:val="center"/>
              </w:trPr>
              <w:tc>
                <w:tcPr>
                  <w:tcW w:w="1460"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总计</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31</w:t>
                  </w:r>
                </w:p>
              </w:tc>
              <w:tc>
                <w:tcPr>
                  <w:tcW w:w="80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10,816,878.99</w:t>
                  </w:r>
                </w:p>
              </w:tc>
              <w:tc>
                <w:tcPr>
                  <w:tcW w:w="137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总计</w:t>
                  </w:r>
                </w:p>
              </w:tc>
              <w:tc>
                <w:tcPr>
                  <w:tcW w:w="29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62</w:t>
                  </w:r>
                </w:p>
              </w:tc>
              <w:tc>
                <w:tcPr>
                  <w:tcW w:w="76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10,816,878.99</w:t>
                  </w:r>
                </w:p>
              </w:tc>
            </w:tr>
            <w:tr>
              <w:tblPrEx>
                <w:tblCellMar>
                  <w:top w:w="0" w:type="dxa"/>
                  <w:left w:w="108" w:type="dxa"/>
                  <w:bottom w:w="0" w:type="dxa"/>
                  <w:right w:w="108" w:type="dxa"/>
                </w:tblCellMar>
              </w:tblPrEx>
              <w:trPr>
                <w:trHeight w:val="302" w:hRule="atLeast"/>
                <w:jc w:val="center"/>
              </w:trPr>
              <w:tc>
                <w:tcPr>
                  <w:tcW w:w="5000" w:type="pct"/>
                  <w:gridSpan w:val="6"/>
                  <w:tcBorders>
                    <w:top w:val="nil"/>
                    <w:left w:val="nil"/>
                    <w:bottom w:val="nil"/>
                    <w:right w:val="nil"/>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注：1.本表反映部门本年度的总收支和年末结转结余情况。</w:t>
                  </w:r>
                </w:p>
              </w:tc>
            </w:tr>
            <w:tr>
              <w:tblPrEx>
                <w:tblCellMar>
                  <w:top w:w="0" w:type="dxa"/>
                  <w:left w:w="108" w:type="dxa"/>
                  <w:bottom w:w="0" w:type="dxa"/>
                  <w:right w:w="108" w:type="dxa"/>
                </w:tblCellMar>
              </w:tblPrEx>
              <w:trPr>
                <w:trHeight w:val="302" w:hRule="atLeast"/>
                <w:jc w:val="center"/>
              </w:trPr>
              <w:tc>
                <w:tcPr>
                  <w:tcW w:w="5000" w:type="pct"/>
                  <w:gridSpan w:val="6"/>
                  <w:tcBorders>
                    <w:top w:val="nil"/>
                    <w:left w:val="nil"/>
                    <w:bottom w:val="nil"/>
                    <w:right w:val="nil"/>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2.本套报表金额单位转换时可能存在尾数误差。</w:t>
                  </w:r>
                </w:p>
              </w:tc>
            </w:tr>
          </w:tbl>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tbl>
            <w:tblPr>
              <w:tblStyle w:val="6"/>
              <w:tblW w:w="4720" w:type="pct"/>
              <w:jc w:val="center"/>
              <w:tblLayout w:type="autofit"/>
              <w:tblCellMar>
                <w:top w:w="0" w:type="dxa"/>
                <w:left w:w="108" w:type="dxa"/>
                <w:bottom w:w="0" w:type="dxa"/>
                <w:right w:w="108" w:type="dxa"/>
              </w:tblCellMar>
            </w:tblPr>
            <w:tblGrid>
              <w:gridCol w:w="581"/>
              <w:gridCol w:w="581"/>
              <w:gridCol w:w="203"/>
              <w:gridCol w:w="34"/>
              <w:gridCol w:w="3670"/>
              <w:gridCol w:w="1566"/>
              <w:gridCol w:w="1432"/>
              <w:gridCol w:w="1134"/>
              <w:gridCol w:w="1283"/>
              <w:gridCol w:w="1139"/>
              <w:gridCol w:w="1134"/>
              <w:gridCol w:w="1558"/>
            </w:tblGrid>
            <w:tr>
              <w:tblPrEx>
                <w:tblCellMar>
                  <w:top w:w="0" w:type="dxa"/>
                  <w:left w:w="108" w:type="dxa"/>
                  <w:bottom w:w="0" w:type="dxa"/>
                  <w:right w:w="108" w:type="dxa"/>
                </w:tblCellMar>
              </w:tblPrEx>
              <w:trPr>
                <w:trHeight w:val="375" w:hRule="atLeast"/>
                <w:jc w:val="center"/>
              </w:trPr>
              <w:tc>
                <w:tcPr>
                  <w:tcW w:w="5000" w:type="pct"/>
                  <w:gridSpan w:val="12"/>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0"/>
                      <w:szCs w:val="30"/>
                    </w:rPr>
                  </w:pPr>
                </w:p>
                <w:p>
                  <w:pPr>
                    <w:widowControl/>
                    <w:jc w:val="center"/>
                    <w:rPr>
                      <w:rFonts w:ascii="黑体" w:hAnsi="黑体" w:eastAsia="黑体" w:cs="Arial"/>
                      <w:color w:val="000000"/>
                      <w:kern w:val="0"/>
                      <w:sz w:val="10"/>
                      <w:szCs w:val="10"/>
                    </w:rPr>
                  </w:pPr>
                  <w:r>
                    <w:rPr>
                      <w:rFonts w:hint="eastAsia" w:ascii="黑体" w:hAnsi="黑体" w:eastAsia="黑体" w:cs="Arial"/>
                      <w:color w:val="000000"/>
                      <w:kern w:val="0"/>
                      <w:sz w:val="30"/>
                      <w:szCs w:val="30"/>
                    </w:rPr>
                    <w:t>收入决算表</w:t>
                  </w:r>
                </w:p>
                <w:p>
                  <w:pPr>
                    <w:widowControl/>
                    <w:jc w:val="center"/>
                    <w:rPr>
                      <w:rFonts w:ascii="黑体" w:hAnsi="黑体" w:eastAsia="黑体" w:cs="Arial"/>
                      <w:color w:val="000000"/>
                      <w:kern w:val="0"/>
                      <w:sz w:val="10"/>
                      <w:szCs w:val="10"/>
                    </w:rPr>
                  </w:pPr>
                </w:p>
              </w:tc>
            </w:tr>
            <w:tr>
              <w:tblPrEx>
                <w:tblCellMar>
                  <w:top w:w="0" w:type="dxa"/>
                  <w:left w:w="108" w:type="dxa"/>
                  <w:bottom w:w="0" w:type="dxa"/>
                  <w:right w:w="108" w:type="dxa"/>
                </w:tblCellMar>
              </w:tblPrEx>
              <w:trPr>
                <w:trHeight w:val="300" w:hRule="atLeast"/>
                <w:jc w:val="center"/>
              </w:trPr>
              <w:tc>
                <w:tcPr>
                  <w:tcW w:w="203" w:type="pct"/>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0"/>
                      <w:szCs w:val="30"/>
                    </w:rPr>
                  </w:pPr>
                </w:p>
              </w:tc>
              <w:tc>
                <w:tcPr>
                  <w:tcW w:w="203"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83" w:type="pct"/>
                  <w:gridSpan w:val="2"/>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282"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547"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500"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396"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448"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398"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396"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546" w:type="pct"/>
                  <w:tcBorders>
                    <w:top w:val="nil"/>
                    <w:left w:val="nil"/>
                    <w:bottom w:val="nil"/>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公开02表</w:t>
                  </w:r>
                </w:p>
              </w:tc>
            </w:tr>
            <w:tr>
              <w:tblPrEx>
                <w:tblCellMar>
                  <w:top w:w="0" w:type="dxa"/>
                  <w:left w:w="108" w:type="dxa"/>
                  <w:bottom w:w="0" w:type="dxa"/>
                  <w:right w:w="108" w:type="dxa"/>
                </w:tblCellMar>
              </w:tblPrEx>
              <w:trPr>
                <w:trHeight w:val="300" w:hRule="atLeast"/>
                <w:jc w:val="center"/>
              </w:trPr>
              <w:tc>
                <w:tcPr>
                  <w:tcW w:w="1771" w:type="pct"/>
                  <w:gridSpan w:val="5"/>
                  <w:tcBorders>
                    <w:top w:val="nil"/>
                    <w:left w:val="nil"/>
                    <w:bottom w:val="single" w:color="808080" w:sz="4" w:space="0"/>
                    <w:right w:val="nil"/>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部门：湖南省生物研究所</w:t>
                  </w:r>
                </w:p>
              </w:tc>
              <w:tc>
                <w:tcPr>
                  <w:tcW w:w="547"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500" w:type="pct"/>
                  <w:tcBorders>
                    <w:top w:val="nil"/>
                    <w:left w:val="nil"/>
                    <w:bottom w:val="single" w:color="808080" w:sz="4" w:space="0"/>
                    <w:right w:val="nil"/>
                  </w:tcBorders>
                  <w:shd w:val="clear" w:color="auto" w:fill="auto"/>
                  <w:noWrap/>
                  <w:vAlign w:val="center"/>
                </w:tcPr>
                <w:p>
                  <w:pPr>
                    <w:widowControl/>
                    <w:rPr>
                      <w:rFonts w:ascii="宋体" w:hAnsi="宋体" w:eastAsia="宋体" w:cs="Arial"/>
                      <w:color w:val="000000"/>
                      <w:kern w:val="0"/>
                      <w:sz w:val="22"/>
                    </w:rPr>
                  </w:pPr>
                  <w:r>
                    <w:rPr>
                      <w:rFonts w:hint="eastAsia" w:ascii="宋体" w:hAnsi="宋体" w:eastAsia="宋体" w:cs="Arial"/>
                      <w:color w:val="000000"/>
                      <w:kern w:val="0"/>
                      <w:sz w:val="22"/>
                    </w:rPr>
                    <w:t>2021年度</w:t>
                  </w:r>
                </w:p>
              </w:tc>
              <w:tc>
                <w:tcPr>
                  <w:tcW w:w="396"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448"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398"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396"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546" w:type="pct"/>
                  <w:tcBorders>
                    <w:top w:val="nil"/>
                    <w:left w:val="nil"/>
                    <w:bottom w:val="single" w:color="808080" w:sz="4" w:space="0"/>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金额单位：元</w:t>
                  </w:r>
                </w:p>
              </w:tc>
            </w:tr>
            <w:tr>
              <w:tblPrEx>
                <w:tblCellMar>
                  <w:top w:w="0" w:type="dxa"/>
                  <w:left w:w="108" w:type="dxa"/>
                  <w:bottom w:w="0" w:type="dxa"/>
                  <w:right w:w="108" w:type="dxa"/>
                </w:tblCellMar>
              </w:tblPrEx>
              <w:trPr>
                <w:trHeight w:val="300" w:hRule="atLeast"/>
                <w:jc w:val="center"/>
              </w:trPr>
              <w:tc>
                <w:tcPr>
                  <w:tcW w:w="1771" w:type="pct"/>
                  <w:gridSpan w:val="5"/>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547"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本年收入合计</w:t>
                  </w:r>
                </w:p>
              </w:tc>
              <w:tc>
                <w:tcPr>
                  <w:tcW w:w="500"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财政拨款收入</w:t>
                  </w:r>
                </w:p>
              </w:tc>
              <w:tc>
                <w:tcPr>
                  <w:tcW w:w="396"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上级补助收入</w:t>
                  </w:r>
                </w:p>
              </w:tc>
              <w:tc>
                <w:tcPr>
                  <w:tcW w:w="448"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事业收入</w:t>
                  </w:r>
                </w:p>
              </w:tc>
              <w:tc>
                <w:tcPr>
                  <w:tcW w:w="398"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经营收入</w:t>
                  </w:r>
                </w:p>
              </w:tc>
              <w:tc>
                <w:tcPr>
                  <w:tcW w:w="396"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附属单位上缴收入</w:t>
                  </w:r>
                </w:p>
              </w:tc>
              <w:tc>
                <w:tcPr>
                  <w:tcW w:w="546"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其他收入</w:t>
                  </w:r>
                </w:p>
              </w:tc>
            </w:tr>
            <w:tr>
              <w:tblPrEx>
                <w:tblCellMar>
                  <w:top w:w="0" w:type="dxa"/>
                  <w:left w:w="108" w:type="dxa"/>
                  <w:bottom w:w="0" w:type="dxa"/>
                  <w:right w:w="108" w:type="dxa"/>
                </w:tblCellMar>
              </w:tblPrEx>
              <w:trPr>
                <w:trHeight w:val="312" w:hRule="atLeast"/>
                <w:jc w:val="center"/>
              </w:trPr>
              <w:tc>
                <w:tcPr>
                  <w:tcW w:w="477" w:type="pct"/>
                  <w:gridSpan w:val="3"/>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功能分类科目编码</w:t>
                  </w:r>
                </w:p>
              </w:tc>
              <w:tc>
                <w:tcPr>
                  <w:tcW w:w="1294" w:type="pct"/>
                  <w:gridSpan w:val="2"/>
                  <w:vMerge w:val="restar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547"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500"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96"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48"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98"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96"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546"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jc w:val="center"/>
              </w:trPr>
              <w:tc>
                <w:tcPr>
                  <w:tcW w:w="477" w:type="pct"/>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94" w:type="pct"/>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547"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500"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96"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48"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98"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96"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546"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jc w:val="center"/>
              </w:trPr>
              <w:tc>
                <w:tcPr>
                  <w:tcW w:w="477" w:type="pct"/>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94" w:type="pct"/>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547"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500"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96"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48"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98"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96"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546"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00" w:hRule="atLeast"/>
                <w:jc w:val="center"/>
              </w:trPr>
              <w:tc>
                <w:tcPr>
                  <w:tcW w:w="1771" w:type="pct"/>
                  <w:gridSpan w:val="5"/>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栏次</w:t>
                  </w:r>
                </w:p>
              </w:tc>
              <w:tc>
                <w:tcPr>
                  <w:tcW w:w="547"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50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39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448"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398"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39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c>
                <w:tcPr>
                  <w:tcW w:w="54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w:t>
                  </w:r>
                </w:p>
              </w:tc>
            </w:tr>
            <w:tr>
              <w:tblPrEx>
                <w:tblCellMar>
                  <w:top w:w="0" w:type="dxa"/>
                  <w:left w:w="108" w:type="dxa"/>
                  <w:bottom w:w="0" w:type="dxa"/>
                  <w:right w:w="108" w:type="dxa"/>
                </w:tblCellMar>
              </w:tblPrEx>
              <w:trPr>
                <w:trHeight w:val="300" w:hRule="atLeast"/>
                <w:jc w:val="center"/>
              </w:trPr>
              <w:tc>
                <w:tcPr>
                  <w:tcW w:w="1771" w:type="pct"/>
                  <w:gridSpan w:val="5"/>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合计</w:t>
                  </w:r>
                </w:p>
              </w:tc>
              <w:tc>
                <w:tcPr>
                  <w:tcW w:w="54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10,667,556.40</w:t>
                  </w:r>
                </w:p>
              </w:tc>
              <w:tc>
                <w:tcPr>
                  <w:tcW w:w="50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3,931,800.00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4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145,615.64</w:t>
                  </w:r>
                </w:p>
              </w:tc>
              <w:tc>
                <w:tcPr>
                  <w:tcW w:w="39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6,590,140.76</w:t>
                  </w:r>
                </w:p>
              </w:tc>
            </w:tr>
            <w:tr>
              <w:tblPrEx>
                <w:tblCellMar>
                  <w:top w:w="0" w:type="dxa"/>
                  <w:left w:w="108" w:type="dxa"/>
                  <w:bottom w:w="0" w:type="dxa"/>
                  <w:right w:w="108" w:type="dxa"/>
                </w:tblCellMar>
              </w:tblPrEx>
              <w:trPr>
                <w:trHeight w:val="300" w:hRule="atLeast"/>
                <w:jc w:val="center"/>
              </w:trPr>
              <w:tc>
                <w:tcPr>
                  <w:tcW w:w="477"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w:t>
                  </w:r>
                </w:p>
              </w:tc>
              <w:tc>
                <w:tcPr>
                  <w:tcW w:w="1294" w:type="pct"/>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科学技术支出</w:t>
                  </w:r>
                </w:p>
              </w:tc>
              <w:tc>
                <w:tcPr>
                  <w:tcW w:w="54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8,965,756.40</w:t>
                  </w:r>
                </w:p>
              </w:tc>
              <w:tc>
                <w:tcPr>
                  <w:tcW w:w="50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2,230,000.00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4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145,615.64</w:t>
                  </w:r>
                </w:p>
              </w:tc>
              <w:tc>
                <w:tcPr>
                  <w:tcW w:w="39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6,590,140.76</w:t>
                  </w:r>
                </w:p>
              </w:tc>
            </w:tr>
            <w:tr>
              <w:tblPrEx>
                <w:tblCellMar>
                  <w:top w:w="0" w:type="dxa"/>
                  <w:left w:w="108" w:type="dxa"/>
                  <w:bottom w:w="0" w:type="dxa"/>
                  <w:right w:w="108" w:type="dxa"/>
                </w:tblCellMar>
              </w:tblPrEx>
              <w:trPr>
                <w:trHeight w:val="300" w:hRule="atLeast"/>
                <w:jc w:val="center"/>
              </w:trPr>
              <w:tc>
                <w:tcPr>
                  <w:tcW w:w="477"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20603</w:t>
                  </w:r>
                </w:p>
              </w:tc>
              <w:tc>
                <w:tcPr>
                  <w:tcW w:w="1294" w:type="pct"/>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应用研究</w:t>
                  </w:r>
                </w:p>
              </w:tc>
              <w:tc>
                <w:tcPr>
                  <w:tcW w:w="54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8,965,756.40</w:t>
                  </w:r>
                </w:p>
              </w:tc>
              <w:tc>
                <w:tcPr>
                  <w:tcW w:w="50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2,230,000.00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4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145,615.64</w:t>
                  </w:r>
                </w:p>
              </w:tc>
              <w:tc>
                <w:tcPr>
                  <w:tcW w:w="39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6,590,140.76</w:t>
                  </w:r>
                </w:p>
              </w:tc>
            </w:tr>
            <w:tr>
              <w:tblPrEx>
                <w:tblCellMar>
                  <w:top w:w="0" w:type="dxa"/>
                  <w:left w:w="108" w:type="dxa"/>
                  <w:bottom w:w="0" w:type="dxa"/>
                  <w:right w:w="108" w:type="dxa"/>
                </w:tblCellMar>
              </w:tblPrEx>
              <w:trPr>
                <w:trHeight w:val="300" w:hRule="atLeast"/>
                <w:jc w:val="center"/>
              </w:trPr>
              <w:tc>
                <w:tcPr>
                  <w:tcW w:w="477"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2060301</w:t>
                  </w:r>
                </w:p>
              </w:tc>
              <w:tc>
                <w:tcPr>
                  <w:tcW w:w="1294" w:type="pct"/>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机构运行</w:t>
                  </w:r>
                </w:p>
              </w:tc>
              <w:tc>
                <w:tcPr>
                  <w:tcW w:w="54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8,820,140.76</w:t>
                  </w:r>
                </w:p>
              </w:tc>
              <w:tc>
                <w:tcPr>
                  <w:tcW w:w="50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2,230,000.00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4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9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6,590,140.76</w:t>
                  </w:r>
                </w:p>
              </w:tc>
            </w:tr>
            <w:tr>
              <w:tblPrEx>
                <w:tblCellMar>
                  <w:top w:w="0" w:type="dxa"/>
                  <w:left w:w="108" w:type="dxa"/>
                  <w:bottom w:w="0" w:type="dxa"/>
                  <w:right w:w="108" w:type="dxa"/>
                </w:tblCellMar>
              </w:tblPrEx>
              <w:trPr>
                <w:trHeight w:val="300" w:hRule="atLeast"/>
                <w:jc w:val="center"/>
              </w:trPr>
              <w:tc>
                <w:tcPr>
                  <w:tcW w:w="477"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2060302</w:t>
                  </w:r>
                </w:p>
              </w:tc>
              <w:tc>
                <w:tcPr>
                  <w:tcW w:w="1294" w:type="pct"/>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社会公益研究</w:t>
                  </w:r>
                </w:p>
              </w:tc>
              <w:tc>
                <w:tcPr>
                  <w:tcW w:w="54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145,615.64</w:t>
                  </w:r>
                </w:p>
              </w:tc>
              <w:tc>
                <w:tcPr>
                  <w:tcW w:w="50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4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145,615.64</w:t>
                  </w:r>
                </w:p>
              </w:tc>
              <w:tc>
                <w:tcPr>
                  <w:tcW w:w="39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jc w:val="center"/>
              </w:trPr>
              <w:tc>
                <w:tcPr>
                  <w:tcW w:w="477"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w:t>
                  </w:r>
                </w:p>
              </w:tc>
              <w:tc>
                <w:tcPr>
                  <w:tcW w:w="1294" w:type="pct"/>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社会保障和就业支出</w:t>
                  </w:r>
                </w:p>
              </w:tc>
              <w:tc>
                <w:tcPr>
                  <w:tcW w:w="54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1,050,000.00</w:t>
                  </w:r>
                </w:p>
              </w:tc>
              <w:tc>
                <w:tcPr>
                  <w:tcW w:w="50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1,050,000.00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4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39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477"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20805</w:t>
                  </w:r>
                </w:p>
              </w:tc>
              <w:tc>
                <w:tcPr>
                  <w:tcW w:w="1294" w:type="pct"/>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行政事业单位养老支出</w:t>
                  </w:r>
                </w:p>
              </w:tc>
              <w:tc>
                <w:tcPr>
                  <w:tcW w:w="54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1,050,000.00</w:t>
                  </w:r>
                </w:p>
              </w:tc>
              <w:tc>
                <w:tcPr>
                  <w:tcW w:w="50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1,050,000.00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4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39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477"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2080505</w:t>
                  </w:r>
                </w:p>
              </w:tc>
              <w:tc>
                <w:tcPr>
                  <w:tcW w:w="1294" w:type="pct"/>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机关事业单位基本养老保险缴费支出</w:t>
                  </w:r>
                </w:p>
              </w:tc>
              <w:tc>
                <w:tcPr>
                  <w:tcW w:w="54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600,000.00</w:t>
                  </w:r>
                </w:p>
              </w:tc>
              <w:tc>
                <w:tcPr>
                  <w:tcW w:w="50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600,000.00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4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9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jc w:val="center"/>
              </w:trPr>
              <w:tc>
                <w:tcPr>
                  <w:tcW w:w="477"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2080506</w:t>
                  </w:r>
                </w:p>
              </w:tc>
              <w:tc>
                <w:tcPr>
                  <w:tcW w:w="1294" w:type="pct"/>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机关事业单位职业年金缴费支出</w:t>
                  </w:r>
                </w:p>
              </w:tc>
              <w:tc>
                <w:tcPr>
                  <w:tcW w:w="54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450,000.00</w:t>
                  </w:r>
                </w:p>
              </w:tc>
              <w:tc>
                <w:tcPr>
                  <w:tcW w:w="50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450,000.00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4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9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jc w:val="center"/>
              </w:trPr>
              <w:tc>
                <w:tcPr>
                  <w:tcW w:w="477"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w:t>
                  </w:r>
                </w:p>
              </w:tc>
              <w:tc>
                <w:tcPr>
                  <w:tcW w:w="1294" w:type="pct"/>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住房保障支出</w:t>
                  </w:r>
                </w:p>
              </w:tc>
              <w:tc>
                <w:tcPr>
                  <w:tcW w:w="54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651,800.00</w:t>
                  </w:r>
                </w:p>
              </w:tc>
              <w:tc>
                <w:tcPr>
                  <w:tcW w:w="50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651,800.00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4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39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477"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22102</w:t>
                  </w:r>
                </w:p>
              </w:tc>
              <w:tc>
                <w:tcPr>
                  <w:tcW w:w="1294" w:type="pct"/>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住房改革支出</w:t>
                  </w:r>
                </w:p>
              </w:tc>
              <w:tc>
                <w:tcPr>
                  <w:tcW w:w="54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651,800.00</w:t>
                  </w:r>
                </w:p>
              </w:tc>
              <w:tc>
                <w:tcPr>
                  <w:tcW w:w="50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651,800.00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4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39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477"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2210201</w:t>
                  </w:r>
                </w:p>
              </w:tc>
              <w:tc>
                <w:tcPr>
                  <w:tcW w:w="1294" w:type="pct"/>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住房公积金</w:t>
                  </w:r>
                </w:p>
              </w:tc>
              <w:tc>
                <w:tcPr>
                  <w:tcW w:w="54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651,800.00</w:t>
                  </w:r>
                </w:p>
              </w:tc>
              <w:tc>
                <w:tcPr>
                  <w:tcW w:w="50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651,800.00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44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9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9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jc w:val="center"/>
              </w:trPr>
              <w:tc>
                <w:tcPr>
                  <w:tcW w:w="5000" w:type="pct"/>
                  <w:gridSpan w:val="12"/>
                  <w:tcBorders>
                    <w:top w:val="nil"/>
                    <w:left w:val="nil"/>
                    <w:bottom w:val="nil"/>
                    <w:right w:val="nil"/>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注：本表反映部门本年度取得的各项收入情况。</w:t>
                  </w:r>
                </w:p>
              </w:tc>
            </w:tr>
          </w:tbl>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tbl>
            <w:tblPr>
              <w:tblStyle w:val="6"/>
              <w:tblW w:w="13896" w:type="dxa"/>
              <w:jc w:val="center"/>
              <w:tblLayout w:type="autofit"/>
              <w:tblCellMar>
                <w:top w:w="0" w:type="dxa"/>
                <w:left w:w="108" w:type="dxa"/>
                <w:bottom w:w="0" w:type="dxa"/>
                <w:right w:w="108" w:type="dxa"/>
              </w:tblCellMar>
            </w:tblPr>
            <w:tblGrid>
              <w:gridCol w:w="362"/>
              <w:gridCol w:w="284"/>
              <w:gridCol w:w="270"/>
              <w:gridCol w:w="3957"/>
              <w:gridCol w:w="1785"/>
              <w:gridCol w:w="1617"/>
              <w:gridCol w:w="1502"/>
              <w:gridCol w:w="1417"/>
              <w:gridCol w:w="1104"/>
              <w:gridCol w:w="1598"/>
            </w:tblGrid>
            <w:tr>
              <w:tblPrEx>
                <w:tblCellMar>
                  <w:top w:w="0" w:type="dxa"/>
                  <w:left w:w="108" w:type="dxa"/>
                  <w:bottom w:w="0" w:type="dxa"/>
                  <w:right w:w="108" w:type="dxa"/>
                </w:tblCellMar>
              </w:tblPrEx>
              <w:trPr>
                <w:trHeight w:val="375" w:hRule="atLeast"/>
                <w:jc w:val="center"/>
              </w:trPr>
              <w:tc>
                <w:tcPr>
                  <w:tcW w:w="13896" w:type="dxa"/>
                  <w:gridSpan w:val="10"/>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0"/>
                      <w:szCs w:val="30"/>
                    </w:rPr>
                  </w:pPr>
                </w:p>
                <w:p>
                  <w:pPr>
                    <w:widowControl/>
                    <w:jc w:val="center"/>
                    <w:rPr>
                      <w:rFonts w:ascii="黑体" w:hAnsi="黑体" w:eastAsia="黑体" w:cs="Arial"/>
                      <w:color w:val="000000"/>
                      <w:kern w:val="0"/>
                      <w:sz w:val="10"/>
                      <w:szCs w:val="10"/>
                    </w:rPr>
                  </w:pPr>
                  <w:r>
                    <w:rPr>
                      <w:rFonts w:hint="eastAsia" w:ascii="黑体" w:hAnsi="黑体" w:eastAsia="黑体" w:cs="Arial"/>
                      <w:color w:val="000000"/>
                      <w:kern w:val="0"/>
                      <w:sz w:val="30"/>
                      <w:szCs w:val="30"/>
                    </w:rPr>
                    <w:t>支出决算表</w:t>
                  </w:r>
                </w:p>
                <w:p>
                  <w:pPr>
                    <w:widowControl/>
                    <w:jc w:val="center"/>
                    <w:rPr>
                      <w:rFonts w:ascii="黑体" w:hAnsi="黑体" w:eastAsia="黑体" w:cs="Arial"/>
                      <w:color w:val="000000"/>
                      <w:kern w:val="0"/>
                      <w:sz w:val="10"/>
                      <w:szCs w:val="10"/>
                    </w:rPr>
                  </w:pPr>
                </w:p>
              </w:tc>
            </w:tr>
            <w:tr>
              <w:tblPrEx>
                <w:tblCellMar>
                  <w:top w:w="0" w:type="dxa"/>
                  <w:left w:w="108" w:type="dxa"/>
                  <w:bottom w:w="0" w:type="dxa"/>
                  <w:right w:w="108" w:type="dxa"/>
                </w:tblCellMar>
              </w:tblPrEx>
              <w:trPr>
                <w:trHeight w:val="300" w:hRule="atLeast"/>
                <w:jc w:val="center"/>
              </w:trPr>
              <w:tc>
                <w:tcPr>
                  <w:tcW w:w="362" w:type="dxa"/>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0"/>
                      <w:szCs w:val="30"/>
                    </w:rPr>
                  </w:pPr>
                </w:p>
              </w:tc>
              <w:tc>
                <w:tcPr>
                  <w:tcW w:w="284"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7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3957"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785"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617"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502"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417"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104"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598" w:type="dxa"/>
                  <w:tcBorders>
                    <w:top w:val="nil"/>
                    <w:left w:val="nil"/>
                    <w:bottom w:val="nil"/>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公开03表</w:t>
                  </w:r>
                </w:p>
              </w:tc>
            </w:tr>
            <w:tr>
              <w:tblPrEx>
                <w:tblCellMar>
                  <w:top w:w="0" w:type="dxa"/>
                  <w:left w:w="108" w:type="dxa"/>
                  <w:bottom w:w="0" w:type="dxa"/>
                  <w:right w:w="108" w:type="dxa"/>
                </w:tblCellMar>
              </w:tblPrEx>
              <w:trPr>
                <w:trHeight w:val="300" w:hRule="atLeast"/>
                <w:jc w:val="center"/>
              </w:trPr>
              <w:tc>
                <w:tcPr>
                  <w:tcW w:w="4873" w:type="dxa"/>
                  <w:gridSpan w:val="4"/>
                  <w:tcBorders>
                    <w:top w:val="nil"/>
                    <w:left w:val="nil"/>
                    <w:bottom w:val="single" w:color="808080" w:sz="4" w:space="0"/>
                    <w:right w:val="nil"/>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部门：湖南省生物研究所</w:t>
                  </w:r>
                </w:p>
              </w:tc>
              <w:tc>
                <w:tcPr>
                  <w:tcW w:w="1785" w:type="dxa"/>
                  <w:tcBorders>
                    <w:top w:val="nil"/>
                    <w:left w:val="nil"/>
                    <w:bottom w:val="single" w:color="808080" w:sz="4" w:space="0"/>
                    <w:right w:val="nil"/>
                  </w:tcBorders>
                  <w:shd w:val="clear" w:color="auto" w:fill="auto"/>
                  <w:noWrap/>
                  <w:vAlign w:val="center"/>
                </w:tcPr>
                <w:p>
                  <w:pPr>
                    <w:widowControl/>
                    <w:ind w:right="880"/>
                    <w:rPr>
                      <w:rFonts w:ascii="宋体" w:hAnsi="宋体" w:eastAsia="宋体" w:cs="Arial"/>
                      <w:color w:val="000000"/>
                      <w:kern w:val="0"/>
                      <w:sz w:val="22"/>
                    </w:rPr>
                  </w:pPr>
                  <w:r>
                    <w:rPr>
                      <w:rFonts w:ascii="宋体" w:hAnsi="宋体" w:eastAsia="宋体" w:cs="Arial"/>
                      <w:color w:val="000000"/>
                      <w:kern w:val="0"/>
                      <w:sz w:val="22"/>
                    </w:rPr>
                    <w:t xml:space="preserve">    </w:t>
                  </w:r>
                </w:p>
              </w:tc>
              <w:tc>
                <w:tcPr>
                  <w:tcW w:w="1617" w:type="dxa"/>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color w:val="000000"/>
                      <w:kern w:val="0"/>
                      <w:sz w:val="22"/>
                    </w:rPr>
                    <w:t>2021年度</w:t>
                  </w:r>
                </w:p>
              </w:tc>
              <w:tc>
                <w:tcPr>
                  <w:tcW w:w="1502" w:type="dxa"/>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417" w:type="dxa"/>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104" w:type="dxa"/>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598" w:type="dxa"/>
                  <w:tcBorders>
                    <w:top w:val="nil"/>
                    <w:left w:val="nil"/>
                    <w:bottom w:val="single" w:color="808080" w:sz="4" w:space="0"/>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金额单位：元</w:t>
                  </w:r>
                </w:p>
              </w:tc>
            </w:tr>
            <w:tr>
              <w:tblPrEx>
                <w:tblCellMar>
                  <w:top w:w="0" w:type="dxa"/>
                  <w:left w:w="108" w:type="dxa"/>
                  <w:bottom w:w="0" w:type="dxa"/>
                  <w:right w:w="108" w:type="dxa"/>
                </w:tblCellMar>
              </w:tblPrEx>
              <w:trPr>
                <w:trHeight w:val="300" w:hRule="atLeast"/>
                <w:jc w:val="center"/>
              </w:trPr>
              <w:tc>
                <w:tcPr>
                  <w:tcW w:w="4873" w:type="dxa"/>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1785"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本年支出合计</w:t>
                  </w:r>
                </w:p>
              </w:tc>
              <w:tc>
                <w:tcPr>
                  <w:tcW w:w="1617"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基本支出</w:t>
                  </w:r>
                </w:p>
              </w:tc>
              <w:tc>
                <w:tcPr>
                  <w:tcW w:w="1502"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项目支出</w:t>
                  </w:r>
                </w:p>
              </w:tc>
              <w:tc>
                <w:tcPr>
                  <w:tcW w:w="1417"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上缴上级支出</w:t>
                  </w:r>
                </w:p>
              </w:tc>
              <w:tc>
                <w:tcPr>
                  <w:tcW w:w="1104"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经营支出</w:t>
                  </w:r>
                </w:p>
              </w:tc>
              <w:tc>
                <w:tcPr>
                  <w:tcW w:w="1598"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对附属单位补助支出</w:t>
                  </w:r>
                </w:p>
              </w:tc>
            </w:tr>
            <w:tr>
              <w:tblPrEx>
                <w:tblCellMar>
                  <w:top w:w="0" w:type="dxa"/>
                  <w:left w:w="108" w:type="dxa"/>
                  <w:bottom w:w="0" w:type="dxa"/>
                  <w:right w:w="108" w:type="dxa"/>
                </w:tblCellMar>
              </w:tblPrEx>
              <w:trPr>
                <w:trHeight w:val="312" w:hRule="atLeast"/>
                <w:jc w:val="center"/>
              </w:trPr>
              <w:tc>
                <w:tcPr>
                  <w:tcW w:w="916"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功能分类科目编码</w:t>
                  </w:r>
                </w:p>
              </w:tc>
              <w:tc>
                <w:tcPr>
                  <w:tcW w:w="3957" w:type="dxa"/>
                  <w:vMerge w:val="restar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178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61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02"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1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0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98"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jc w:val="center"/>
              </w:trPr>
              <w:tc>
                <w:tcPr>
                  <w:tcW w:w="916"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95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78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61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02"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1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0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98"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jc w:val="center"/>
              </w:trPr>
              <w:tc>
                <w:tcPr>
                  <w:tcW w:w="916"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95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78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61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02"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1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10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98"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00" w:hRule="atLeast"/>
                <w:jc w:val="center"/>
              </w:trPr>
              <w:tc>
                <w:tcPr>
                  <w:tcW w:w="4873" w:type="dxa"/>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栏次</w:t>
                  </w:r>
                </w:p>
              </w:tc>
              <w:tc>
                <w:tcPr>
                  <w:tcW w:w="178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16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150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1417"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1104"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1598"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r>
            <w:tr>
              <w:tblPrEx>
                <w:tblCellMar>
                  <w:top w:w="0" w:type="dxa"/>
                  <w:left w:w="108" w:type="dxa"/>
                  <w:bottom w:w="0" w:type="dxa"/>
                  <w:right w:w="108" w:type="dxa"/>
                </w:tblCellMar>
              </w:tblPrEx>
              <w:trPr>
                <w:trHeight w:val="300" w:hRule="atLeast"/>
                <w:jc w:val="center"/>
              </w:trPr>
              <w:tc>
                <w:tcPr>
                  <w:tcW w:w="4873" w:type="dxa"/>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合计</w:t>
                  </w:r>
                </w:p>
              </w:tc>
              <w:tc>
                <w:tcPr>
                  <w:tcW w:w="178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10,816,878.99</w:t>
                  </w:r>
                </w:p>
              </w:tc>
              <w:tc>
                <w:tcPr>
                  <w:tcW w:w="16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10,671,263.35</w:t>
                  </w:r>
                </w:p>
              </w:tc>
              <w:tc>
                <w:tcPr>
                  <w:tcW w:w="150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145,615.64</w:t>
                  </w:r>
                </w:p>
              </w:tc>
              <w:tc>
                <w:tcPr>
                  <w:tcW w:w="14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0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5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9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w:t>
                  </w:r>
                </w:p>
              </w:tc>
              <w:tc>
                <w:tcPr>
                  <w:tcW w:w="395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科学技术支出</w:t>
                  </w:r>
                </w:p>
              </w:tc>
              <w:tc>
                <w:tcPr>
                  <w:tcW w:w="178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9,115,078.99</w:t>
                  </w:r>
                </w:p>
              </w:tc>
              <w:tc>
                <w:tcPr>
                  <w:tcW w:w="16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8,969,463.35</w:t>
                  </w:r>
                </w:p>
              </w:tc>
              <w:tc>
                <w:tcPr>
                  <w:tcW w:w="150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145,615.64</w:t>
                  </w:r>
                </w:p>
              </w:tc>
              <w:tc>
                <w:tcPr>
                  <w:tcW w:w="14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0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5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9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20603</w:t>
                  </w:r>
                </w:p>
              </w:tc>
              <w:tc>
                <w:tcPr>
                  <w:tcW w:w="395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应用研究</w:t>
                  </w:r>
                </w:p>
              </w:tc>
              <w:tc>
                <w:tcPr>
                  <w:tcW w:w="178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9,115,078.99</w:t>
                  </w:r>
                </w:p>
              </w:tc>
              <w:tc>
                <w:tcPr>
                  <w:tcW w:w="16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8,969,463.35</w:t>
                  </w:r>
                </w:p>
              </w:tc>
              <w:tc>
                <w:tcPr>
                  <w:tcW w:w="150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145,615.64</w:t>
                  </w:r>
                </w:p>
              </w:tc>
              <w:tc>
                <w:tcPr>
                  <w:tcW w:w="14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0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5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9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2060301</w:t>
                  </w:r>
                </w:p>
              </w:tc>
              <w:tc>
                <w:tcPr>
                  <w:tcW w:w="395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机构运行</w:t>
                  </w:r>
                </w:p>
              </w:tc>
              <w:tc>
                <w:tcPr>
                  <w:tcW w:w="178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8,969,463.35</w:t>
                  </w:r>
                </w:p>
              </w:tc>
              <w:tc>
                <w:tcPr>
                  <w:tcW w:w="16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8,969,463.35</w:t>
                  </w:r>
                </w:p>
              </w:tc>
              <w:tc>
                <w:tcPr>
                  <w:tcW w:w="150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4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0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5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jc w:val="center"/>
              </w:trPr>
              <w:tc>
                <w:tcPr>
                  <w:tcW w:w="9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2060302</w:t>
                  </w:r>
                </w:p>
              </w:tc>
              <w:tc>
                <w:tcPr>
                  <w:tcW w:w="395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社会公益研究</w:t>
                  </w:r>
                </w:p>
              </w:tc>
              <w:tc>
                <w:tcPr>
                  <w:tcW w:w="178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145,615.64</w:t>
                  </w:r>
                </w:p>
              </w:tc>
              <w:tc>
                <w:tcPr>
                  <w:tcW w:w="16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50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145,615.64</w:t>
                  </w:r>
                </w:p>
              </w:tc>
              <w:tc>
                <w:tcPr>
                  <w:tcW w:w="14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0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5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jc w:val="center"/>
              </w:trPr>
              <w:tc>
                <w:tcPr>
                  <w:tcW w:w="9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w:t>
                  </w:r>
                </w:p>
              </w:tc>
              <w:tc>
                <w:tcPr>
                  <w:tcW w:w="395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社会保障和就业支出</w:t>
                  </w:r>
                </w:p>
              </w:tc>
              <w:tc>
                <w:tcPr>
                  <w:tcW w:w="178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1,050,000.00</w:t>
                  </w:r>
                </w:p>
              </w:tc>
              <w:tc>
                <w:tcPr>
                  <w:tcW w:w="16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1,050,000.00</w:t>
                  </w:r>
                </w:p>
              </w:tc>
              <w:tc>
                <w:tcPr>
                  <w:tcW w:w="150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4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0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5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9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20805</w:t>
                  </w:r>
                </w:p>
              </w:tc>
              <w:tc>
                <w:tcPr>
                  <w:tcW w:w="395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行政事业单位养老支出</w:t>
                  </w:r>
                </w:p>
              </w:tc>
              <w:tc>
                <w:tcPr>
                  <w:tcW w:w="178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1,050,000.00</w:t>
                  </w:r>
                </w:p>
              </w:tc>
              <w:tc>
                <w:tcPr>
                  <w:tcW w:w="16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1,050,000.00</w:t>
                  </w:r>
                </w:p>
              </w:tc>
              <w:tc>
                <w:tcPr>
                  <w:tcW w:w="150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4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0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5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9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2080505</w:t>
                  </w:r>
                </w:p>
              </w:tc>
              <w:tc>
                <w:tcPr>
                  <w:tcW w:w="395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机关事业单位基本养老保险缴费支出</w:t>
                  </w:r>
                </w:p>
              </w:tc>
              <w:tc>
                <w:tcPr>
                  <w:tcW w:w="178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600,000.00</w:t>
                  </w:r>
                </w:p>
              </w:tc>
              <w:tc>
                <w:tcPr>
                  <w:tcW w:w="16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600,000.00</w:t>
                  </w:r>
                </w:p>
              </w:tc>
              <w:tc>
                <w:tcPr>
                  <w:tcW w:w="150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4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0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5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jc w:val="center"/>
              </w:trPr>
              <w:tc>
                <w:tcPr>
                  <w:tcW w:w="9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2080506</w:t>
                  </w:r>
                </w:p>
              </w:tc>
              <w:tc>
                <w:tcPr>
                  <w:tcW w:w="395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机关事业单位职业年金缴费支出</w:t>
                  </w:r>
                </w:p>
              </w:tc>
              <w:tc>
                <w:tcPr>
                  <w:tcW w:w="178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450,000.00</w:t>
                  </w:r>
                </w:p>
              </w:tc>
              <w:tc>
                <w:tcPr>
                  <w:tcW w:w="16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450,000.00</w:t>
                  </w:r>
                </w:p>
              </w:tc>
              <w:tc>
                <w:tcPr>
                  <w:tcW w:w="150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4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0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5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jc w:val="center"/>
              </w:trPr>
              <w:tc>
                <w:tcPr>
                  <w:tcW w:w="9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w:t>
                  </w:r>
                </w:p>
              </w:tc>
              <w:tc>
                <w:tcPr>
                  <w:tcW w:w="395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住房保障支出</w:t>
                  </w:r>
                </w:p>
              </w:tc>
              <w:tc>
                <w:tcPr>
                  <w:tcW w:w="178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651,800.00</w:t>
                  </w:r>
                </w:p>
              </w:tc>
              <w:tc>
                <w:tcPr>
                  <w:tcW w:w="16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651,800.00</w:t>
                  </w:r>
                </w:p>
              </w:tc>
              <w:tc>
                <w:tcPr>
                  <w:tcW w:w="150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4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0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5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9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22102</w:t>
                  </w:r>
                </w:p>
              </w:tc>
              <w:tc>
                <w:tcPr>
                  <w:tcW w:w="395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住房改革支出</w:t>
                  </w:r>
                </w:p>
              </w:tc>
              <w:tc>
                <w:tcPr>
                  <w:tcW w:w="178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651,800.00</w:t>
                  </w:r>
                </w:p>
              </w:tc>
              <w:tc>
                <w:tcPr>
                  <w:tcW w:w="16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651,800.00</w:t>
                  </w:r>
                </w:p>
              </w:tc>
              <w:tc>
                <w:tcPr>
                  <w:tcW w:w="150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4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10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c>
                <w:tcPr>
                  <w:tcW w:w="15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9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2210201</w:t>
                  </w:r>
                </w:p>
              </w:tc>
              <w:tc>
                <w:tcPr>
                  <w:tcW w:w="3957"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住房公积金</w:t>
                  </w:r>
                </w:p>
              </w:tc>
              <w:tc>
                <w:tcPr>
                  <w:tcW w:w="178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651,800.00</w:t>
                  </w:r>
                </w:p>
              </w:tc>
              <w:tc>
                <w:tcPr>
                  <w:tcW w:w="16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651,800.00</w:t>
                  </w:r>
                </w:p>
              </w:tc>
              <w:tc>
                <w:tcPr>
                  <w:tcW w:w="150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4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10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59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jc w:val="center"/>
              </w:trPr>
              <w:tc>
                <w:tcPr>
                  <w:tcW w:w="13896" w:type="dxa"/>
                  <w:gridSpan w:val="10"/>
                  <w:tcBorders>
                    <w:top w:val="nil"/>
                    <w:left w:val="nil"/>
                    <w:bottom w:val="nil"/>
                    <w:right w:val="nil"/>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注：本表反映部门本年度各项支出情况。</w:t>
                  </w:r>
                </w:p>
              </w:tc>
            </w:tr>
          </w:tbl>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18"/>
                <w:szCs w:val="18"/>
              </w:rPr>
            </w:pPr>
          </w:p>
          <w:p>
            <w:pPr>
              <w:widowControl/>
              <w:rPr>
                <w:rFonts w:ascii="华文中宋" w:hAnsi="华文中宋" w:eastAsia="华文中宋" w:cs="宋体"/>
                <w:color w:val="000000"/>
                <w:kern w:val="0"/>
                <w:sz w:val="10"/>
                <w:szCs w:val="10"/>
              </w:rPr>
            </w:pPr>
          </w:p>
          <w:p>
            <w:pPr>
              <w:widowControl/>
              <w:rPr>
                <w:rFonts w:ascii="华文中宋" w:hAnsi="华文中宋" w:eastAsia="华文中宋" w:cs="宋体"/>
                <w:color w:val="000000"/>
                <w:kern w:val="0"/>
                <w:sz w:val="10"/>
                <w:szCs w:val="10"/>
              </w:rPr>
            </w:pPr>
          </w:p>
          <w:p>
            <w:pPr>
              <w:widowControl/>
              <w:rPr>
                <w:rFonts w:ascii="华文中宋" w:hAnsi="华文中宋" w:eastAsia="华文中宋" w:cs="宋体"/>
                <w:color w:val="000000"/>
                <w:kern w:val="0"/>
                <w:sz w:val="10"/>
                <w:szCs w:val="10"/>
              </w:rPr>
            </w:pPr>
          </w:p>
          <w:tbl>
            <w:tblPr>
              <w:tblStyle w:val="6"/>
              <w:tblW w:w="5000" w:type="pct"/>
              <w:tblInd w:w="0" w:type="dxa"/>
              <w:tblLayout w:type="autofit"/>
              <w:tblCellMar>
                <w:top w:w="0" w:type="dxa"/>
                <w:left w:w="108" w:type="dxa"/>
                <w:bottom w:w="0" w:type="dxa"/>
                <w:right w:w="108" w:type="dxa"/>
              </w:tblCellMar>
            </w:tblPr>
            <w:tblGrid>
              <w:gridCol w:w="2817"/>
              <w:gridCol w:w="476"/>
              <w:gridCol w:w="1416"/>
              <w:gridCol w:w="3216"/>
              <w:gridCol w:w="1152"/>
              <w:gridCol w:w="1416"/>
              <w:gridCol w:w="1656"/>
              <w:gridCol w:w="1155"/>
              <w:gridCol w:w="1860"/>
            </w:tblGrid>
            <w:tr>
              <w:tblPrEx>
                <w:tblCellMar>
                  <w:top w:w="0" w:type="dxa"/>
                  <w:left w:w="108" w:type="dxa"/>
                  <w:bottom w:w="0" w:type="dxa"/>
                  <w:right w:w="108" w:type="dxa"/>
                </w:tblCellMar>
              </w:tblPrEx>
              <w:trPr>
                <w:trHeight w:val="375" w:hRule="atLeast"/>
              </w:trPr>
              <w:tc>
                <w:tcPr>
                  <w:tcW w:w="5000" w:type="pct"/>
                  <w:gridSpan w:val="9"/>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10"/>
                      <w:szCs w:val="10"/>
                    </w:rPr>
                  </w:pPr>
                  <w:r>
                    <w:rPr>
                      <w:rFonts w:hint="eastAsia" w:ascii="黑体" w:hAnsi="黑体" w:eastAsia="黑体" w:cs="Arial"/>
                      <w:color w:val="000000"/>
                      <w:kern w:val="0"/>
                      <w:sz w:val="30"/>
                      <w:szCs w:val="30"/>
                    </w:rPr>
                    <w:t>财政拨款收入支出决算总表</w:t>
                  </w:r>
                </w:p>
                <w:p>
                  <w:pPr>
                    <w:widowControl/>
                    <w:jc w:val="center"/>
                    <w:rPr>
                      <w:rFonts w:ascii="黑体" w:hAnsi="黑体" w:eastAsia="黑体" w:cs="Arial"/>
                      <w:color w:val="000000"/>
                      <w:kern w:val="0"/>
                      <w:sz w:val="10"/>
                      <w:szCs w:val="10"/>
                    </w:rPr>
                  </w:pPr>
                </w:p>
                <w:p>
                  <w:pPr>
                    <w:widowControl/>
                    <w:jc w:val="center"/>
                    <w:rPr>
                      <w:rFonts w:ascii="黑体" w:hAnsi="黑体" w:eastAsia="黑体" w:cs="Arial"/>
                      <w:color w:val="000000"/>
                      <w:kern w:val="0"/>
                      <w:sz w:val="10"/>
                      <w:szCs w:val="10"/>
                    </w:rPr>
                  </w:pPr>
                </w:p>
              </w:tc>
            </w:tr>
            <w:tr>
              <w:tblPrEx>
                <w:tblCellMar>
                  <w:top w:w="0" w:type="dxa"/>
                  <w:left w:w="108" w:type="dxa"/>
                  <w:bottom w:w="0" w:type="dxa"/>
                  <w:right w:w="108" w:type="dxa"/>
                </w:tblCellMar>
              </w:tblPrEx>
              <w:trPr>
                <w:trHeight w:val="300" w:hRule="atLeast"/>
              </w:trPr>
              <w:tc>
                <w:tcPr>
                  <w:tcW w:w="929" w:type="pct"/>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0"/>
                      <w:szCs w:val="30"/>
                    </w:rPr>
                  </w:pPr>
                </w:p>
              </w:tc>
              <w:tc>
                <w:tcPr>
                  <w:tcW w:w="157"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467"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060"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380"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467"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546"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381"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613" w:type="pct"/>
                  <w:tcBorders>
                    <w:top w:val="nil"/>
                    <w:left w:val="nil"/>
                    <w:bottom w:val="nil"/>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公开04表</w:t>
                  </w:r>
                </w:p>
              </w:tc>
            </w:tr>
            <w:tr>
              <w:tblPrEx>
                <w:tblCellMar>
                  <w:top w:w="0" w:type="dxa"/>
                  <w:left w:w="108" w:type="dxa"/>
                  <w:bottom w:w="0" w:type="dxa"/>
                  <w:right w:w="108" w:type="dxa"/>
                </w:tblCellMar>
              </w:tblPrEx>
              <w:trPr>
                <w:trHeight w:val="300" w:hRule="atLeast"/>
              </w:trPr>
              <w:tc>
                <w:tcPr>
                  <w:tcW w:w="929"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部门：湖南省生物研究所</w:t>
                  </w:r>
                </w:p>
              </w:tc>
              <w:tc>
                <w:tcPr>
                  <w:tcW w:w="157"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467"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060"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380"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2021年度</w:t>
                  </w:r>
                </w:p>
              </w:tc>
              <w:tc>
                <w:tcPr>
                  <w:tcW w:w="467"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546"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381" w:type="pct"/>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613" w:type="pct"/>
                  <w:tcBorders>
                    <w:top w:val="nil"/>
                    <w:left w:val="nil"/>
                    <w:bottom w:val="single" w:color="808080" w:sz="4" w:space="0"/>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金额单位：元</w:t>
                  </w:r>
                </w:p>
              </w:tc>
            </w:tr>
            <w:tr>
              <w:tblPrEx>
                <w:tblCellMar>
                  <w:top w:w="0" w:type="dxa"/>
                  <w:left w:w="108" w:type="dxa"/>
                  <w:bottom w:w="0" w:type="dxa"/>
                  <w:right w:w="108" w:type="dxa"/>
                </w:tblCellMar>
              </w:tblPrEx>
              <w:trPr>
                <w:trHeight w:val="300" w:hRule="atLeast"/>
              </w:trPr>
              <w:tc>
                <w:tcPr>
                  <w:tcW w:w="1553"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收     入</w:t>
                  </w:r>
                </w:p>
              </w:tc>
              <w:tc>
                <w:tcPr>
                  <w:tcW w:w="3447" w:type="pct"/>
                  <w:gridSpan w:val="6"/>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支     出</w:t>
                  </w:r>
                </w:p>
              </w:tc>
            </w:tr>
            <w:tr>
              <w:tblPrEx>
                <w:tblCellMar>
                  <w:top w:w="0" w:type="dxa"/>
                  <w:left w:w="108" w:type="dxa"/>
                  <w:bottom w:w="0" w:type="dxa"/>
                  <w:right w:w="108" w:type="dxa"/>
                </w:tblCellMar>
              </w:tblPrEx>
              <w:trPr>
                <w:trHeight w:val="312" w:hRule="atLeast"/>
              </w:trPr>
              <w:tc>
                <w:tcPr>
                  <w:tcW w:w="929"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157"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行次</w:t>
                  </w:r>
                </w:p>
              </w:tc>
              <w:tc>
                <w:tcPr>
                  <w:tcW w:w="467"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金额</w:t>
                  </w:r>
                </w:p>
              </w:tc>
              <w:tc>
                <w:tcPr>
                  <w:tcW w:w="1060" w:type="pct"/>
                  <w:vMerge w:val="restart"/>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380"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行次</w:t>
                  </w:r>
                </w:p>
              </w:tc>
              <w:tc>
                <w:tcPr>
                  <w:tcW w:w="467" w:type="pct"/>
                  <w:vMerge w:val="restar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合计</w:t>
                  </w:r>
                </w:p>
              </w:tc>
              <w:tc>
                <w:tcPr>
                  <w:tcW w:w="546"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一般公共预算财政拨款</w:t>
                  </w:r>
                </w:p>
              </w:tc>
              <w:tc>
                <w:tcPr>
                  <w:tcW w:w="381"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政府性基金预算财政拨款</w:t>
                  </w:r>
                </w:p>
              </w:tc>
              <w:tc>
                <w:tcPr>
                  <w:tcW w:w="613" w:type="pct"/>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国有资本经营预算财政拨款</w:t>
                  </w:r>
                </w:p>
              </w:tc>
            </w:tr>
            <w:tr>
              <w:tblPrEx>
                <w:tblCellMar>
                  <w:top w:w="0" w:type="dxa"/>
                  <w:left w:w="108" w:type="dxa"/>
                  <w:bottom w:w="0" w:type="dxa"/>
                  <w:right w:w="108" w:type="dxa"/>
                </w:tblCellMar>
              </w:tblPrEx>
              <w:trPr>
                <w:trHeight w:val="600" w:hRule="atLeast"/>
              </w:trPr>
              <w:tc>
                <w:tcPr>
                  <w:tcW w:w="929" w:type="pct"/>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7"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67"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060"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80"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67"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546"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81"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613" w:type="pct"/>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栏次</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1060" w:type="pct"/>
                  <w:tcBorders>
                    <w:top w:val="nil"/>
                    <w:left w:val="nil"/>
                    <w:bottom w:val="single" w:color="000000" w:sz="4" w:space="0"/>
                    <w:right w:val="single" w:color="000000" w:sz="4" w:space="0"/>
                  </w:tcBorders>
                  <w:shd w:val="clear" w:color="auto" w:fill="auto"/>
                  <w:noWrap/>
                  <w:vAlign w:val="bottom"/>
                </w:tcPr>
                <w:p>
                  <w:pPr>
                    <w:widowControl/>
                    <w:jc w:val="left"/>
                    <w:rPr>
                      <w:rFonts w:ascii="宋体" w:hAnsi="宋体" w:eastAsia="宋体" w:cs="Arial"/>
                      <w:kern w:val="0"/>
                      <w:sz w:val="20"/>
                      <w:szCs w:val="20"/>
                    </w:rPr>
                  </w:pPr>
                  <w:r>
                    <w:rPr>
                      <w:rFonts w:hint="eastAsia" w:ascii="宋体" w:hAnsi="宋体" w:eastAsia="宋体" w:cs="Arial"/>
                      <w:kern w:val="0"/>
                      <w:sz w:val="20"/>
                      <w:szCs w:val="20"/>
                    </w:rPr>
                    <w:t>栏次</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一、一般公共预算财政拨款</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3,931,800.00</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一、一般公共服务支出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33</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二、政府性基金预算财政拨款</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二、外交支出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34</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三、国有资本经营财政拨款</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三、国防支出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35</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四、公共安全支出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36</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五、教育支出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37</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六、科学技术支出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38</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2,230,000.00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2,230,000.00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七、文化旅游体育与传媒支出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39</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八、社会保障和就业支出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40</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1,050,000.00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1,050,000.00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九、卫生健康支出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41</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10</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十、节能环保支出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42</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11</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十一、城乡社区支出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43</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12</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十二、农林水支出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44</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13</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十三、交通运输支出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45</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14</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十四、资源勘探工业信息等支出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46</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15</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十五、商业服务业等支出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47</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16</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十六、金融支出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48</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17</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十七、援助其他地区支出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49</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18</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十八、自然资源海洋气象等支出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50</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19</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十九、住房保障支出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51</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651,800.00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651,800.00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20</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二十、粮油物资储备支出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52</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296"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21</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二十一、国有资本经营预算支出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53</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22</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二十二、灾害防治及应急管理支出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54</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23</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二十三、其他支出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55</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24</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二十四、债务还本支出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56</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25</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二十五、债务付息支出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57</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26</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二十六、抗疫特别国债安排的支出</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58</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本年收入合计</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27</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3,931,800.00</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本年支出合计</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59</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3,931,800.00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3,931,800.00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年初财政拨款结转和结余</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28</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年末财政拨款结转和结余</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60</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一般公共预算财政拨款</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29</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61</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政府性基金预算财政拨款</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30</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62</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国有资本经营预算财政拨款</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31</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63</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929"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总计</w:t>
                  </w:r>
                </w:p>
              </w:tc>
              <w:tc>
                <w:tcPr>
                  <w:tcW w:w="1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32</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3,931,800.00</w:t>
                  </w:r>
                </w:p>
              </w:tc>
              <w:tc>
                <w:tcPr>
                  <w:tcW w:w="1060"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总计</w:t>
                  </w:r>
                </w:p>
              </w:tc>
              <w:tc>
                <w:tcPr>
                  <w:tcW w:w="380"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64</w:t>
                  </w:r>
                </w:p>
              </w:tc>
              <w:tc>
                <w:tcPr>
                  <w:tcW w:w="4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3,931,800.00</w:t>
                  </w:r>
                </w:p>
              </w:tc>
              <w:tc>
                <w:tcPr>
                  <w:tcW w:w="54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3,931,800.00</w:t>
                  </w:r>
                </w:p>
              </w:tc>
              <w:tc>
                <w:tcPr>
                  <w:tcW w:w="381"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61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4387" w:type="pct"/>
                  <w:gridSpan w:val="8"/>
                  <w:tcBorders>
                    <w:top w:val="nil"/>
                    <w:left w:val="nil"/>
                    <w:bottom w:val="nil"/>
                    <w:right w:val="nil"/>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注：本表反映部门本年度一般公共预算财政拨款、政府性基金预算财政拨款和国有资本经营预算财政拨款的总收支和年末结转结余情况。</w:t>
                  </w:r>
                </w:p>
              </w:tc>
              <w:tc>
                <w:tcPr>
                  <w:tcW w:w="613" w:type="pct"/>
                  <w:tcBorders>
                    <w:top w:val="nil"/>
                    <w:left w:val="nil"/>
                    <w:bottom w:val="nil"/>
                    <w:right w:val="nil"/>
                  </w:tcBorders>
                  <w:shd w:val="clear" w:color="auto" w:fill="auto"/>
                  <w:noWrap/>
                  <w:vAlign w:val="center"/>
                </w:tcPr>
                <w:p>
                  <w:pPr>
                    <w:widowControl/>
                    <w:jc w:val="left"/>
                    <w:rPr>
                      <w:rFonts w:ascii="宋体" w:hAnsi="宋体" w:eastAsia="宋体" w:cs="Arial"/>
                      <w:kern w:val="0"/>
                      <w:sz w:val="20"/>
                      <w:szCs w:val="20"/>
                    </w:rPr>
                  </w:pPr>
                </w:p>
              </w:tc>
            </w:tr>
          </w:tbl>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tbl>
            <w:tblPr>
              <w:tblStyle w:val="6"/>
              <w:tblW w:w="0" w:type="auto"/>
              <w:jc w:val="center"/>
              <w:tblLayout w:type="autofit"/>
              <w:tblCellMar>
                <w:top w:w="0" w:type="dxa"/>
                <w:left w:w="108" w:type="dxa"/>
                <w:bottom w:w="0" w:type="dxa"/>
                <w:right w:w="108" w:type="dxa"/>
              </w:tblCellMar>
            </w:tblPr>
            <w:tblGrid>
              <w:gridCol w:w="222"/>
              <w:gridCol w:w="222"/>
              <w:gridCol w:w="2628"/>
              <w:gridCol w:w="4255"/>
              <w:gridCol w:w="2126"/>
              <w:gridCol w:w="2127"/>
              <w:gridCol w:w="2123"/>
            </w:tblGrid>
            <w:tr>
              <w:tblPrEx>
                <w:tblCellMar>
                  <w:top w:w="0" w:type="dxa"/>
                  <w:left w:w="108" w:type="dxa"/>
                  <w:bottom w:w="0" w:type="dxa"/>
                  <w:right w:w="108" w:type="dxa"/>
                </w:tblCellMar>
              </w:tblPrEx>
              <w:trPr>
                <w:trHeight w:val="375" w:hRule="atLeast"/>
                <w:jc w:val="center"/>
              </w:trPr>
              <w:tc>
                <w:tcPr>
                  <w:tcW w:w="13703" w:type="dxa"/>
                  <w:gridSpan w:val="7"/>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0"/>
                      <w:szCs w:val="30"/>
                    </w:rPr>
                  </w:pPr>
                </w:p>
                <w:p>
                  <w:pPr>
                    <w:widowControl/>
                    <w:jc w:val="center"/>
                    <w:rPr>
                      <w:rFonts w:ascii="黑体" w:hAnsi="黑体" w:eastAsia="黑体" w:cs="Arial"/>
                      <w:color w:val="000000"/>
                      <w:kern w:val="0"/>
                      <w:sz w:val="10"/>
                      <w:szCs w:val="10"/>
                    </w:rPr>
                  </w:pPr>
                  <w:r>
                    <w:rPr>
                      <w:rFonts w:hint="eastAsia" w:ascii="黑体" w:hAnsi="黑体" w:eastAsia="黑体" w:cs="Arial"/>
                      <w:color w:val="000000"/>
                      <w:kern w:val="0"/>
                      <w:sz w:val="30"/>
                      <w:szCs w:val="30"/>
                    </w:rPr>
                    <w:t>一般公共预算财政拨款支出决算表</w:t>
                  </w:r>
                </w:p>
                <w:p>
                  <w:pPr>
                    <w:widowControl/>
                    <w:jc w:val="center"/>
                    <w:rPr>
                      <w:rFonts w:ascii="黑体" w:hAnsi="黑体" w:eastAsia="黑体" w:cs="Arial"/>
                      <w:color w:val="000000"/>
                      <w:kern w:val="0"/>
                      <w:sz w:val="10"/>
                      <w:szCs w:val="10"/>
                    </w:rPr>
                  </w:pPr>
                </w:p>
              </w:tc>
            </w:tr>
            <w:tr>
              <w:tblPrEx>
                <w:tblCellMar>
                  <w:top w:w="0" w:type="dxa"/>
                  <w:left w:w="108" w:type="dxa"/>
                  <w:bottom w:w="0" w:type="dxa"/>
                  <w:right w:w="108" w:type="dxa"/>
                </w:tblCellMar>
              </w:tblPrEx>
              <w:trPr>
                <w:trHeight w:val="300" w:hRule="atLeast"/>
                <w:jc w:val="center"/>
              </w:trPr>
              <w:tc>
                <w:tcPr>
                  <w:tcW w:w="0" w:type="auto"/>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0"/>
                      <w:szCs w:val="3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628"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4255"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126"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127"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123" w:type="dxa"/>
                  <w:tcBorders>
                    <w:top w:val="nil"/>
                    <w:left w:val="nil"/>
                    <w:bottom w:val="nil"/>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公开05表</w:t>
                  </w:r>
                </w:p>
              </w:tc>
            </w:tr>
            <w:tr>
              <w:tblPrEx>
                <w:tblCellMar>
                  <w:top w:w="0" w:type="dxa"/>
                  <w:left w:w="108" w:type="dxa"/>
                  <w:bottom w:w="0" w:type="dxa"/>
                  <w:right w:w="108" w:type="dxa"/>
                </w:tblCellMar>
              </w:tblPrEx>
              <w:trPr>
                <w:trHeight w:val="300" w:hRule="atLeast"/>
                <w:jc w:val="center"/>
              </w:trPr>
              <w:tc>
                <w:tcPr>
                  <w:tcW w:w="3072" w:type="dxa"/>
                  <w:gridSpan w:val="3"/>
                  <w:tcBorders>
                    <w:top w:val="nil"/>
                    <w:left w:val="nil"/>
                    <w:bottom w:val="single" w:color="808080" w:sz="4" w:space="0"/>
                    <w:right w:val="nil"/>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部门：湖南省生物研究所</w:t>
                  </w:r>
                </w:p>
              </w:tc>
              <w:tc>
                <w:tcPr>
                  <w:tcW w:w="4255" w:type="dxa"/>
                  <w:tcBorders>
                    <w:top w:val="nil"/>
                    <w:left w:val="nil"/>
                    <w:bottom w:val="single" w:color="808080" w:sz="4" w:space="0"/>
                    <w:right w:val="nil"/>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2021年度</w:t>
                  </w:r>
                </w:p>
              </w:tc>
              <w:tc>
                <w:tcPr>
                  <w:tcW w:w="2126" w:type="dxa"/>
                  <w:tcBorders>
                    <w:top w:val="nil"/>
                    <w:left w:val="nil"/>
                    <w:bottom w:val="single" w:color="808080" w:sz="4" w:space="0"/>
                    <w:right w:val="nil"/>
                  </w:tcBorders>
                  <w:shd w:val="clear" w:color="auto" w:fill="auto"/>
                  <w:noWrap/>
                  <w:vAlign w:val="center"/>
                </w:tcPr>
                <w:p>
                  <w:pPr>
                    <w:widowControl/>
                    <w:jc w:val="right"/>
                    <w:rPr>
                      <w:rFonts w:ascii="宋体" w:hAnsi="宋体" w:eastAsia="宋体" w:cs="Arial"/>
                      <w:kern w:val="0"/>
                      <w:sz w:val="18"/>
                      <w:szCs w:val="18"/>
                    </w:rPr>
                  </w:pPr>
                </w:p>
              </w:tc>
              <w:tc>
                <w:tcPr>
                  <w:tcW w:w="2127" w:type="dxa"/>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123" w:type="dxa"/>
                  <w:tcBorders>
                    <w:top w:val="nil"/>
                    <w:left w:val="nil"/>
                    <w:bottom w:val="single" w:color="808080" w:sz="4" w:space="0"/>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金额单位：元</w:t>
                  </w:r>
                </w:p>
              </w:tc>
            </w:tr>
            <w:tr>
              <w:tblPrEx>
                <w:tblCellMar>
                  <w:top w:w="0" w:type="dxa"/>
                  <w:left w:w="108" w:type="dxa"/>
                  <w:bottom w:w="0" w:type="dxa"/>
                  <w:right w:w="108" w:type="dxa"/>
                </w:tblCellMar>
              </w:tblPrEx>
              <w:trPr>
                <w:trHeight w:val="300" w:hRule="atLeast"/>
                <w:jc w:val="center"/>
              </w:trPr>
              <w:tc>
                <w:tcPr>
                  <w:tcW w:w="7327" w:type="dxa"/>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6376"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本年支出</w:t>
                  </w:r>
                </w:p>
              </w:tc>
            </w:tr>
            <w:tr>
              <w:tblPrEx>
                <w:tblCellMar>
                  <w:top w:w="0" w:type="dxa"/>
                  <w:left w:w="108" w:type="dxa"/>
                  <w:bottom w:w="0" w:type="dxa"/>
                  <w:right w:w="108" w:type="dxa"/>
                </w:tblCellMar>
              </w:tblPrEx>
              <w:trPr>
                <w:trHeight w:val="312" w:hRule="atLeast"/>
                <w:jc w:val="center"/>
              </w:trPr>
              <w:tc>
                <w:tcPr>
                  <w:tcW w:w="3072"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功能分类科目编码</w:t>
                  </w:r>
                </w:p>
              </w:tc>
              <w:tc>
                <w:tcPr>
                  <w:tcW w:w="4255" w:type="dxa"/>
                  <w:vMerge w:val="restar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2126"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小计</w:t>
                  </w:r>
                </w:p>
              </w:tc>
              <w:tc>
                <w:tcPr>
                  <w:tcW w:w="2127"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基本支出</w:t>
                  </w:r>
                </w:p>
              </w:tc>
              <w:tc>
                <w:tcPr>
                  <w:tcW w:w="2123"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项目支出</w:t>
                  </w:r>
                </w:p>
              </w:tc>
            </w:tr>
            <w:tr>
              <w:tblPrEx>
                <w:tblCellMar>
                  <w:top w:w="0" w:type="dxa"/>
                  <w:left w:w="108" w:type="dxa"/>
                  <w:bottom w:w="0" w:type="dxa"/>
                  <w:right w:w="108" w:type="dxa"/>
                </w:tblCellMar>
              </w:tblPrEx>
              <w:trPr>
                <w:trHeight w:val="312" w:hRule="atLeast"/>
                <w:jc w:val="center"/>
              </w:trPr>
              <w:tc>
                <w:tcPr>
                  <w:tcW w:w="3072"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25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12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12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12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jc w:val="center"/>
              </w:trPr>
              <w:tc>
                <w:tcPr>
                  <w:tcW w:w="3072"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425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12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12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12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00" w:hRule="atLeast"/>
                <w:jc w:val="center"/>
              </w:trPr>
              <w:tc>
                <w:tcPr>
                  <w:tcW w:w="7327" w:type="dxa"/>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栏次</w:t>
                  </w:r>
                </w:p>
              </w:tc>
              <w:tc>
                <w:tcPr>
                  <w:tcW w:w="2126"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2127"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2123"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r>
            <w:tr>
              <w:tblPrEx>
                <w:tblCellMar>
                  <w:top w:w="0" w:type="dxa"/>
                  <w:left w:w="108" w:type="dxa"/>
                  <w:bottom w:w="0" w:type="dxa"/>
                  <w:right w:w="108" w:type="dxa"/>
                </w:tblCellMar>
              </w:tblPrEx>
              <w:trPr>
                <w:trHeight w:val="300" w:hRule="atLeast"/>
                <w:jc w:val="center"/>
              </w:trPr>
              <w:tc>
                <w:tcPr>
                  <w:tcW w:w="7327" w:type="dxa"/>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合计</w:t>
                  </w:r>
                </w:p>
              </w:tc>
              <w:tc>
                <w:tcPr>
                  <w:tcW w:w="212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3,931,800.00</w:t>
                  </w:r>
                </w:p>
              </w:tc>
              <w:tc>
                <w:tcPr>
                  <w:tcW w:w="21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3,931,800.00</w:t>
                  </w:r>
                </w:p>
              </w:tc>
              <w:tc>
                <w:tcPr>
                  <w:tcW w:w="212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3072"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w:t>
                  </w:r>
                </w:p>
              </w:tc>
              <w:tc>
                <w:tcPr>
                  <w:tcW w:w="4255"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科学技术支出</w:t>
                  </w:r>
                </w:p>
              </w:tc>
              <w:tc>
                <w:tcPr>
                  <w:tcW w:w="212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2,230,000.00</w:t>
                  </w:r>
                </w:p>
              </w:tc>
              <w:tc>
                <w:tcPr>
                  <w:tcW w:w="21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2,230,000.00</w:t>
                  </w:r>
                </w:p>
              </w:tc>
              <w:tc>
                <w:tcPr>
                  <w:tcW w:w="212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3072"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20603</w:t>
                  </w:r>
                </w:p>
              </w:tc>
              <w:tc>
                <w:tcPr>
                  <w:tcW w:w="4255"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应用研究</w:t>
                  </w:r>
                </w:p>
              </w:tc>
              <w:tc>
                <w:tcPr>
                  <w:tcW w:w="212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2,230,000.00</w:t>
                  </w:r>
                </w:p>
              </w:tc>
              <w:tc>
                <w:tcPr>
                  <w:tcW w:w="21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2,230,000.00</w:t>
                  </w:r>
                </w:p>
              </w:tc>
              <w:tc>
                <w:tcPr>
                  <w:tcW w:w="212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3072"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2060301</w:t>
                  </w:r>
                </w:p>
              </w:tc>
              <w:tc>
                <w:tcPr>
                  <w:tcW w:w="4255"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机构运行</w:t>
                  </w:r>
                </w:p>
              </w:tc>
              <w:tc>
                <w:tcPr>
                  <w:tcW w:w="212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2,230,000.00</w:t>
                  </w:r>
                </w:p>
              </w:tc>
              <w:tc>
                <w:tcPr>
                  <w:tcW w:w="21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2,230,000.00</w:t>
                  </w:r>
                </w:p>
              </w:tc>
              <w:tc>
                <w:tcPr>
                  <w:tcW w:w="212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jc w:val="center"/>
              </w:trPr>
              <w:tc>
                <w:tcPr>
                  <w:tcW w:w="3072"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w:t>
                  </w:r>
                </w:p>
              </w:tc>
              <w:tc>
                <w:tcPr>
                  <w:tcW w:w="4255"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社会保障和就业支出</w:t>
                  </w:r>
                </w:p>
              </w:tc>
              <w:tc>
                <w:tcPr>
                  <w:tcW w:w="212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1,050,000.00</w:t>
                  </w:r>
                </w:p>
              </w:tc>
              <w:tc>
                <w:tcPr>
                  <w:tcW w:w="21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1,050,000.00</w:t>
                  </w:r>
                </w:p>
              </w:tc>
              <w:tc>
                <w:tcPr>
                  <w:tcW w:w="212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3072"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20805</w:t>
                  </w:r>
                </w:p>
              </w:tc>
              <w:tc>
                <w:tcPr>
                  <w:tcW w:w="4255"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行政事业单位养老支出</w:t>
                  </w:r>
                </w:p>
              </w:tc>
              <w:tc>
                <w:tcPr>
                  <w:tcW w:w="212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1,050,000.00</w:t>
                  </w:r>
                </w:p>
              </w:tc>
              <w:tc>
                <w:tcPr>
                  <w:tcW w:w="21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1,050,000.00</w:t>
                  </w:r>
                </w:p>
              </w:tc>
              <w:tc>
                <w:tcPr>
                  <w:tcW w:w="212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3072"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2080505</w:t>
                  </w:r>
                </w:p>
              </w:tc>
              <w:tc>
                <w:tcPr>
                  <w:tcW w:w="4255"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机关事业单位基本养老保险缴费支出</w:t>
                  </w:r>
                </w:p>
              </w:tc>
              <w:tc>
                <w:tcPr>
                  <w:tcW w:w="212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600,000.00</w:t>
                  </w:r>
                </w:p>
              </w:tc>
              <w:tc>
                <w:tcPr>
                  <w:tcW w:w="21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600,000.00</w:t>
                  </w:r>
                </w:p>
              </w:tc>
              <w:tc>
                <w:tcPr>
                  <w:tcW w:w="212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jc w:val="center"/>
              </w:trPr>
              <w:tc>
                <w:tcPr>
                  <w:tcW w:w="3072"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2080506</w:t>
                  </w:r>
                </w:p>
              </w:tc>
              <w:tc>
                <w:tcPr>
                  <w:tcW w:w="4255"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机关事业单位职业年金缴费支出</w:t>
                  </w:r>
                </w:p>
              </w:tc>
              <w:tc>
                <w:tcPr>
                  <w:tcW w:w="212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450,000.00</w:t>
                  </w:r>
                </w:p>
              </w:tc>
              <w:tc>
                <w:tcPr>
                  <w:tcW w:w="21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450,000.00</w:t>
                  </w:r>
                </w:p>
              </w:tc>
              <w:tc>
                <w:tcPr>
                  <w:tcW w:w="212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jc w:val="center"/>
              </w:trPr>
              <w:tc>
                <w:tcPr>
                  <w:tcW w:w="3072"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w:t>
                  </w:r>
                </w:p>
              </w:tc>
              <w:tc>
                <w:tcPr>
                  <w:tcW w:w="4255"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住房保障支出</w:t>
                  </w:r>
                </w:p>
              </w:tc>
              <w:tc>
                <w:tcPr>
                  <w:tcW w:w="212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651,800.00</w:t>
                  </w:r>
                </w:p>
              </w:tc>
              <w:tc>
                <w:tcPr>
                  <w:tcW w:w="21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651,800.00</w:t>
                  </w:r>
                </w:p>
              </w:tc>
              <w:tc>
                <w:tcPr>
                  <w:tcW w:w="212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3072"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22102</w:t>
                  </w:r>
                </w:p>
              </w:tc>
              <w:tc>
                <w:tcPr>
                  <w:tcW w:w="4255"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住房改革支出</w:t>
                  </w:r>
                </w:p>
              </w:tc>
              <w:tc>
                <w:tcPr>
                  <w:tcW w:w="212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651,800.00</w:t>
                  </w:r>
                </w:p>
              </w:tc>
              <w:tc>
                <w:tcPr>
                  <w:tcW w:w="21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651,800.00</w:t>
                  </w:r>
                </w:p>
              </w:tc>
              <w:tc>
                <w:tcPr>
                  <w:tcW w:w="212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0.00</w:t>
                  </w:r>
                </w:p>
              </w:tc>
            </w:tr>
            <w:tr>
              <w:tblPrEx>
                <w:tblCellMar>
                  <w:top w:w="0" w:type="dxa"/>
                  <w:left w:w="108" w:type="dxa"/>
                  <w:bottom w:w="0" w:type="dxa"/>
                  <w:right w:w="108" w:type="dxa"/>
                </w:tblCellMar>
              </w:tblPrEx>
              <w:trPr>
                <w:trHeight w:val="300" w:hRule="atLeast"/>
                <w:jc w:val="center"/>
              </w:trPr>
              <w:tc>
                <w:tcPr>
                  <w:tcW w:w="3072"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2210201</w:t>
                  </w:r>
                </w:p>
              </w:tc>
              <w:tc>
                <w:tcPr>
                  <w:tcW w:w="4255"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住房公积金</w:t>
                  </w:r>
                </w:p>
              </w:tc>
              <w:tc>
                <w:tcPr>
                  <w:tcW w:w="212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651,800.00</w:t>
                  </w:r>
                </w:p>
              </w:tc>
              <w:tc>
                <w:tcPr>
                  <w:tcW w:w="21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651,800.00</w:t>
                  </w:r>
                </w:p>
              </w:tc>
              <w:tc>
                <w:tcPr>
                  <w:tcW w:w="212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jc w:val="center"/>
              </w:trPr>
              <w:tc>
                <w:tcPr>
                  <w:tcW w:w="13703" w:type="dxa"/>
                  <w:gridSpan w:val="7"/>
                  <w:tcBorders>
                    <w:top w:val="nil"/>
                    <w:left w:val="nil"/>
                    <w:bottom w:val="nil"/>
                    <w:right w:val="nil"/>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注：本表反映部门本年度一般公共预算财政拨款支出情况。</w:t>
                  </w:r>
                </w:p>
              </w:tc>
            </w:tr>
          </w:tbl>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tbl>
            <w:tblPr>
              <w:tblStyle w:val="6"/>
              <w:tblW w:w="0" w:type="auto"/>
              <w:tblInd w:w="0" w:type="dxa"/>
              <w:tblLayout w:type="autofit"/>
              <w:tblCellMar>
                <w:top w:w="0" w:type="dxa"/>
                <w:left w:w="108" w:type="dxa"/>
                <w:bottom w:w="0" w:type="dxa"/>
                <w:right w:w="108" w:type="dxa"/>
              </w:tblCellMar>
            </w:tblPr>
            <w:tblGrid>
              <w:gridCol w:w="716"/>
              <w:gridCol w:w="3216"/>
              <w:gridCol w:w="1416"/>
              <w:gridCol w:w="716"/>
              <w:gridCol w:w="2216"/>
              <w:gridCol w:w="616"/>
              <w:gridCol w:w="716"/>
              <w:gridCol w:w="4016"/>
              <w:gridCol w:w="1536"/>
            </w:tblGrid>
            <w:tr>
              <w:tblPrEx>
                <w:tblCellMar>
                  <w:top w:w="0" w:type="dxa"/>
                  <w:left w:w="108" w:type="dxa"/>
                  <w:bottom w:w="0" w:type="dxa"/>
                  <w:right w:w="108" w:type="dxa"/>
                </w:tblCellMar>
              </w:tblPrEx>
              <w:trPr>
                <w:trHeight w:val="375" w:hRule="atLeast"/>
              </w:trPr>
              <w:tc>
                <w:tcPr>
                  <w:tcW w:w="0" w:type="auto"/>
                  <w:gridSpan w:val="9"/>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0"/>
                      <w:szCs w:val="30"/>
                    </w:rPr>
                  </w:pPr>
                </w:p>
                <w:p>
                  <w:pPr>
                    <w:widowControl/>
                    <w:jc w:val="center"/>
                    <w:rPr>
                      <w:rFonts w:ascii="黑体" w:hAnsi="黑体" w:eastAsia="黑体" w:cs="Arial"/>
                      <w:color w:val="000000"/>
                      <w:kern w:val="0"/>
                      <w:sz w:val="10"/>
                      <w:szCs w:val="10"/>
                    </w:rPr>
                  </w:pPr>
                  <w:r>
                    <w:rPr>
                      <w:rFonts w:hint="eastAsia" w:ascii="黑体" w:hAnsi="黑体" w:eastAsia="黑体" w:cs="Arial"/>
                      <w:color w:val="000000"/>
                      <w:kern w:val="0"/>
                      <w:sz w:val="30"/>
                      <w:szCs w:val="30"/>
                    </w:rPr>
                    <w:t>一般公共预算财政拨款基本支出决算明细表</w:t>
                  </w:r>
                </w:p>
                <w:p>
                  <w:pPr>
                    <w:widowControl/>
                    <w:jc w:val="center"/>
                    <w:rPr>
                      <w:rFonts w:ascii="黑体" w:hAnsi="黑体" w:eastAsia="黑体" w:cs="Arial"/>
                      <w:color w:val="000000"/>
                      <w:kern w:val="0"/>
                      <w:sz w:val="10"/>
                      <w:szCs w:val="10"/>
                    </w:rPr>
                  </w:pPr>
                </w:p>
              </w:tc>
            </w:tr>
            <w:tr>
              <w:tblPrEx>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0"/>
                      <w:szCs w:val="3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公开06表</w:t>
                  </w:r>
                </w:p>
              </w:tc>
            </w:tr>
            <w:tr>
              <w:tblPrEx>
                <w:tblCellMar>
                  <w:top w:w="0" w:type="dxa"/>
                  <w:left w:w="108" w:type="dxa"/>
                  <w:bottom w:w="0" w:type="dxa"/>
                  <w:right w:w="108" w:type="dxa"/>
                </w:tblCellMar>
              </w:tblPrEx>
              <w:trPr>
                <w:trHeight w:val="300" w:hRule="atLeast"/>
              </w:trPr>
              <w:tc>
                <w:tcPr>
                  <w:tcW w:w="0" w:type="auto"/>
                  <w:gridSpan w:val="2"/>
                  <w:tcBorders>
                    <w:top w:val="nil"/>
                    <w:left w:val="nil"/>
                    <w:bottom w:val="single" w:color="808080" w:sz="4" w:space="0"/>
                    <w:right w:val="nil"/>
                  </w:tcBorders>
                  <w:shd w:val="clear" w:color="auto"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部门：湖南省生物研究所</w:t>
                  </w:r>
                </w:p>
              </w:tc>
              <w:tc>
                <w:tcPr>
                  <w:tcW w:w="0" w:type="auto"/>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0" w:type="auto"/>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0" w:type="auto"/>
                  <w:tcBorders>
                    <w:top w:val="nil"/>
                    <w:left w:val="nil"/>
                    <w:bottom w:val="single" w:color="808080" w:sz="4" w:space="0"/>
                    <w:right w:val="nil"/>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　</w:t>
                  </w:r>
                </w:p>
              </w:tc>
              <w:tc>
                <w:tcPr>
                  <w:tcW w:w="0" w:type="auto"/>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0" w:type="auto"/>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0" w:type="auto"/>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0" w:type="auto"/>
                  <w:tcBorders>
                    <w:top w:val="nil"/>
                    <w:left w:val="nil"/>
                    <w:bottom w:val="single" w:color="808080" w:sz="4" w:space="0"/>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金额单位：元</w:t>
                  </w:r>
                </w:p>
              </w:tc>
            </w:tr>
            <w:tr>
              <w:tblPrEx>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人员经费</w:t>
                  </w:r>
                </w:p>
              </w:tc>
              <w:tc>
                <w:tcPr>
                  <w:tcW w:w="0" w:type="auto"/>
                  <w:gridSpan w:val="6"/>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公用经费</w:t>
                  </w:r>
                </w:p>
              </w:tc>
            </w:tr>
            <w:tr>
              <w:tblPrEx>
                <w:tblCellMar>
                  <w:top w:w="0" w:type="dxa"/>
                  <w:left w:w="108" w:type="dxa"/>
                  <w:bottom w:w="0" w:type="dxa"/>
                  <w:right w:w="108" w:type="dxa"/>
                </w:tblCellMar>
              </w:tblPrEx>
              <w:trPr>
                <w:trHeight w:val="312" w:hRule="atLeast"/>
              </w:trPr>
              <w:tc>
                <w:tcPr>
                  <w:tcW w:w="0" w:type="auto"/>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科目编码</w:t>
                  </w:r>
                </w:p>
              </w:tc>
              <w:tc>
                <w:tcPr>
                  <w:tcW w:w="0" w:type="auto"/>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0" w:type="auto"/>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决算数</w:t>
                  </w:r>
                </w:p>
              </w:tc>
              <w:tc>
                <w:tcPr>
                  <w:tcW w:w="0" w:type="auto"/>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科目编码</w:t>
                  </w:r>
                </w:p>
              </w:tc>
              <w:tc>
                <w:tcPr>
                  <w:tcW w:w="0" w:type="auto"/>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0" w:type="auto"/>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决算数</w:t>
                  </w:r>
                </w:p>
              </w:tc>
              <w:tc>
                <w:tcPr>
                  <w:tcW w:w="0" w:type="auto"/>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科目编码</w:t>
                  </w:r>
                </w:p>
              </w:tc>
              <w:tc>
                <w:tcPr>
                  <w:tcW w:w="0" w:type="auto"/>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0" w:type="auto"/>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决算数</w:t>
                  </w: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0" w:type="auto"/>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0" w:type="auto"/>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0" w:type="auto"/>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0" w:type="auto"/>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0" w:type="auto"/>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0" w:type="auto"/>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0" w:type="auto"/>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0" w:type="auto"/>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工资福利支出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3,931,800.00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商品和服务支出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307</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债务利息及费用支出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30101</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基本工资</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2,230,000.00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30201</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办公费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30701</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国内债务付息</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30102</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津贴补贴</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30202</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印刷费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30702</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国外债务付息</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30103</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奖金</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30203</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咨询费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资本性支出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30106</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伙食补助费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30204</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手续费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31001</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房屋建筑物购建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30107</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绩效工资</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30205</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水费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31002</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办公设备购置</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30108</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机关事业单位基本养老保险缴费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600,000.00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30206</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电费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31003</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专用设备购置</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30109</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职业年金缴费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450,000.00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30207</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邮电费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31005</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基础设施建设</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职工基本医疗保险缴费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30208</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取暖费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31006</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大型修缮</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30111</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公务员医疗补助缴费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30209</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物业管理费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31007</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信息网络及软件购置更新</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30112</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其他社会保障缴费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30211</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差旅费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31008</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物资储备</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30113</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住房公积金</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651,800.00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30212</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因公出国（境）费用</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31009</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土地补偿</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30114</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医疗费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30213</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维修（护）费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安置补助</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30199</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其他工资福利支出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30214</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租赁费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31011</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地上附着物和青苗补偿</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对个人和家庭的补助</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30215</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会议费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31012</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拆迁补偿</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30301</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离休费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30216</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培训费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31013</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公务用车购置</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30302</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退休费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30217</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公务接待费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31019</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其他交通工具购置</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30303</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退职（役）费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30218</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专用材料费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31021</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文物和陈列品购置</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30304</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抚恤金</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30224</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被装购置费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31022</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无形资产购置</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30305</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生活补助</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30225</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专用燃料费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31099</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其他资本性支出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30306</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救济费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30226</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劳务费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其他支出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30307</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医疗费补助</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30227</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委托业务费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39906</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赠与</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30308</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助学金</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30228</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工会经费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39907</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国家赔偿费用支出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30309</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奖励金</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30229</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福利费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39908</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对民间非营利组织和群众性自治组织补贴</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30310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个人农业生产补贴</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30231</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公务用车运行维护费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39999</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30311</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代缴社会保险费</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30239</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其他交通费用</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30399</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其他对个人和家庭的补助</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30240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税金及附加费用</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30299</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其他商品和服务支出</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0" w:type="auto"/>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人员经费合计</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3,931,800.00</w:t>
                  </w:r>
                </w:p>
              </w:tc>
              <w:tc>
                <w:tcPr>
                  <w:tcW w:w="0" w:type="auto"/>
                  <w:gridSpan w:val="5"/>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公用经费合计</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300" w:hRule="atLeast"/>
              </w:trPr>
              <w:tc>
                <w:tcPr>
                  <w:tcW w:w="0" w:type="auto"/>
                  <w:gridSpan w:val="9"/>
                  <w:tcBorders>
                    <w:top w:val="nil"/>
                    <w:left w:val="nil"/>
                    <w:bottom w:val="nil"/>
                    <w:right w:val="nil"/>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注：本表反映部门本年度一般公共预算财政拨款基本支出明细情况。</w:t>
                  </w:r>
                </w:p>
              </w:tc>
            </w:tr>
          </w:tbl>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tbl>
            <w:tblPr>
              <w:tblStyle w:val="6"/>
              <w:tblW w:w="0" w:type="auto"/>
              <w:tblInd w:w="0" w:type="dxa"/>
              <w:tblLayout w:type="autofit"/>
              <w:tblCellMar>
                <w:top w:w="0" w:type="dxa"/>
                <w:left w:w="108" w:type="dxa"/>
                <w:bottom w:w="0" w:type="dxa"/>
                <w:right w:w="108" w:type="dxa"/>
              </w:tblCellMar>
            </w:tblPr>
            <w:tblGrid>
              <w:gridCol w:w="662"/>
              <w:gridCol w:w="1491"/>
              <w:gridCol w:w="662"/>
              <w:gridCol w:w="1276"/>
              <w:gridCol w:w="1276"/>
              <w:gridCol w:w="2776"/>
              <w:gridCol w:w="662"/>
              <w:gridCol w:w="1491"/>
              <w:gridCol w:w="662"/>
              <w:gridCol w:w="1276"/>
              <w:gridCol w:w="1277"/>
              <w:gridCol w:w="1653"/>
            </w:tblGrid>
            <w:tr>
              <w:tblPrEx>
                <w:tblCellMar>
                  <w:top w:w="0" w:type="dxa"/>
                  <w:left w:w="108" w:type="dxa"/>
                  <w:bottom w:w="0" w:type="dxa"/>
                  <w:right w:w="108" w:type="dxa"/>
                </w:tblCellMar>
              </w:tblPrEx>
              <w:trPr>
                <w:trHeight w:val="375" w:hRule="atLeast"/>
              </w:trPr>
              <w:tc>
                <w:tcPr>
                  <w:tcW w:w="0" w:type="auto"/>
                  <w:gridSpan w:val="12"/>
                  <w:tcBorders>
                    <w:top w:val="nil"/>
                    <w:left w:val="nil"/>
                    <w:bottom w:val="nil"/>
                    <w:right w:val="nil"/>
                  </w:tcBorders>
                  <w:shd w:val="clear" w:color="auto" w:fill="auto"/>
                  <w:noWrap/>
                  <w:vAlign w:val="center"/>
                </w:tcPr>
                <w:p>
                  <w:pPr>
                    <w:widowControl/>
                    <w:jc w:val="center"/>
                    <w:rPr>
                      <w:rFonts w:ascii="黑体" w:hAnsi="黑体" w:eastAsia="黑体" w:cs="Arial"/>
                      <w:kern w:val="0"/>
                      <w:sz w:val="10"/>
                      <w:szCs w:val="10"/>
                    </w:rPr>
                  </w:pPr>
                  <w:r>
                    <w:rPr>
                      <w:rFonts w:hint="eastAsia" w:ascii="黑体" w:hAnsi="黑体" w:eastAsia="黑体" w:cs="Arial"/>
                      <w:kern w:val="0"/>
                      <w:sz w:val="30"/>
                      <w:szCs w:val="30"/>
                    </w:rPr>
                    <w:t>一般公共预算财政拨款“三公”经费支出决算表</w:t>
                  </w:r>
                </w:p>
                <w:p>
                  <w:pPr>
                    <w:widowControl/>
                    <w:jc w:val="center"/>
                    <w:rPr>
                      <w:rFonts w:ascii="黑体" w:hAnsi="黑体" w:eastAsia="黑体" w:cs="Arial"/>
                      <w:kern w:val="0"/>
                      <w:sz w:val="10"/>
                      <w:szCs w:val="10"/>
                    </w:rPr>
                  </w:pPr>
                </w:p>
              </w:tc>
            </w:tr>
            <w:tr>
              <w:tblPrEx>
                <w:tblCellMar>
                  <w:top w:w="0" w:type="dxa"/>
                  <w:left w:w="108" w:type="dxa"/>
                  <w:bottom w:w="0" w:type="dxa"/>
                  <w:right w:w="108" w:type="dxa"/>
                </w:tblCellMar>
              </w:tblPrEx>
              <w:trPr>
                <w:trHeight w:val="300" w:hRule="atLeast"/>
              </w:trPr>
              <w:tc>
                <w:tcPr>
                  <w:tcW w:w="0" w:type="auto"/>
                  <w:gridSpan w:val="2"/>
                  <w:tcBorders>
                    <w:top w:val="nil"/>
                    <w:left w:val="nil"/>
                    <w:bottom w:val="nil"/>
                    <w:right w:val="nil"/>
                  </w:tcBorders>
                  <w:shd w:val="clear" w:color="auto" w:fill="auto"/>
                  <w:noWrap/>
                  <w:vAlign w:val="center"/>
                </w:tcPr>
                <w:p>
                  <w:pPr>
                    <w:widowControl/>
                    <w:jc w:val="left"/>
                    <w:rPr>
                      <w:rFonts w:ascii="宋体" w:hAnsi="宋体" w:eastAsia="宋体" w:cs="Arial"/>
                      <w:kern w:val="0"/>
                      <w:sz w:val="22"/>
                    </w:rPr>
                  </w:pPr>
                  <w:r>
                    <w:rPr>
                      <w:rFonts w:hint="eastAsia" w:ascii="宋体" w:hAnsi="宋体" w:eastAsia="宋体" w:cs="Arial"/>
                      <w:kern w:val="0"/>
                      <w:sz w:val="22"/>
                    </w:rPr>
                    <w:t>预算代码：</w:t>
                  </w:r>
                </w:p>
              </w:tc>
              <w:tc>
                <w:tcPr>
                  <w:tcW w:w="0" w:type="auto"/>
                  <w:tcBorders>
                    <w:top w:val="nil"/>
                    <w:left w:val="nil"/>
                    <w:bottom w:val="nil"/>
                    <w:right w:val="nil"/>
                  </w:tcBorders>
                  <w:shd w:val="clear" w:color="auto" w:fill="auto"/>
                  <w:noWrap/>
                  <w:vAlign w:val="center"/>
                </w:tcPr>
                <w:p>
                  <w:pPr>
                    <w:widowControl/>
                    <w:jc w:val="left"/>
                    <w:rPr>
                      <w:rFonts w:ascii="宋体" w:hAnsi="宋体" w:eastAsia="宋体" w:cs="Arial"/>
                      <w:kern w:val="0"/>
                      <w:sz w:val="22"/>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noWrap/>
                  <w:vAlign w:val="center"/>
                </w:tcPr>
                <w:p>
                  <w:pPr>
                    <w:widowControl/>
                    <w:jc w:val="right"/>
                    <w:rPr>
                      <w:rFonts w:ascii="宋体" w:hAnsi="宋体" w:eastAsia="宋体" w:cs="Arial"/>
                      <w:kern w:val="0"/>
                      <w:sz w:val="22"/>
                    </w:rPr>
                  </w:pPr>
                  <w:r>
                    <w:rPr>
                      <w:rFonts w:hint="eastAsia" w:ascii="宋体" w:hAnsi="宋体" w:eastAsia="宋体" w:cs="Arial"/>
                      <w:kern w:val="0"/>
                      <w:sz w:val="22"/>
                    </w:rPr>
                    <w:t>公开07表</w:t>
                  </w:r>
                </w:p>
              </w:tc>
            </w:tr>
            <w:tr>
              <w:tblPrEx>
                <w:tblCellMar>
                  <w:top w:w="0" w:type="dxa"/>
                  <w:left w:w="108" w:type="dxa"/>
                  <w:bottom w:w="0" w:type="dxa"/>
                  <w:right w:w="108" w:type="dxa"/>
                </w:tblCellMar>
              </w:tblPrEx>
              <w:trPr>
                <w:trHeight w:val="300" w:hRule="atLeast"/>
              </w:trPr>
              <w:tc>
                <w:tcPr>
                  <w:tcW w:w="0" w:type="auto"/>
                  <w:gridSpan w:val="4"/>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22"/>
                    </w:rPr>
                  </w:pPr>
                  <w:r>
                    <w:rPr>
                      <w:rFonts w:hint="eastAsia" w:ascii="宋体" w:hAnsi="宋体" w:eastAsia="宋体" w:cs="Arial"/>
                      <w:kern w:val="0"/>
                      <w:sz w:val="22"/>
                    </w:rPr>
                    <w:t>部门：湖南省生物研究所</w:t>
                  </w:r>
                </w:p>
              </w:tc>
              <w:tc>
                <w:tcPr>
                  <w:tcW w:w="0" w:type="auto"/>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0" w:type="auto"/>
                  <w:tcBorders>
                    <w:top w:val="nil"/>
                    <w:left w:val="nil"/>
                    <w:bottom w:val="single" w:color="808080" w:sz="4" w:space="0"/>
                    <w:right w:val="nil"/>
                  </w:tcBorders>
                  <w:shd w:val="clear" w:color="auto" w:fill="auto"/>
                  <w:noWrap/>
                  <w:vAlign w:val="center"/>
                </w:tcPr>
                <w:p>
                  <w:pPr>
                    <w:widowControl/>
                    <w:jc w:val="center"/>
                    <w:rPr>
                      <w:rFonts w:ascii="宋体" w:hAnsi="宋体" w:eastAsia="宋体" w:cs="Arial"/>
                      <w:kern w:val="0"/>
                      <w:sz w:val="22"/>
                    </w:rPr>
                  </w:pPr>
                  <w:r>
                    <w:rPr>
                      <w:rFonts w:hint="eastAsia" w:ascii="宋体" w:hAnsi="宋体" w:eastAsia="宋体" w:cs="Arial"/>
                      <w:kern w:val="0"/>
                      <w:sz w:val="22"/>
                    </w:rPr>
                    <w:t>制表日期：20</w:t>
                  </w:r>
                  <w:r>
                    <w:rPr>
                      <w:rFonts w:ascii="宋体" w:hAnsi="宋体" w:eastAsia="宋体" w:cs="Arial"/>
                      <w:kern w:val="0"/>
                      <w:sz w:val="22"/>
                    </w:rPr>
                    <w:t>21</w:t>
                  </w:r>
                  <w:r>
                    <w:rPr>
                      <w:rFonts w:hint="eastAsia" w:ascii="宋体" w:hAnsi="宋体" w:eastAsia="宋体" w:cs="Arial"/>
                      <w:kern w:val="0"/>
                      <w:sz w:val="22"/>
                    </w:rPr>
                    <w:t>年</w:t>
                  </w:r>
                  <w:r>
                    <w:rPr>
                      <w:rFonts w:ascii="宋体" w:hAnsi="宋体" w:eastAsia="宋体" w:cs="Arial"/>
                      <w:kern w:val="0"/>
                      <w:sz w:val="22"/>
                    </w:rPr>
                    <w:t>12</w:t>
                  </w:r>
                  <w:r>
                    <w:rPr>
                      <w:rFonts w:hint="eastAsia" w:ascii="宋体" w:hAnsi="宋体" w:eastAsia="宋体" w:cs="Arial"/>
                      <w:kern w:val="0"/>
                      <w:sz w:val="22"/>
                    </w:rPr>
                    <w:t>月</w:t>
                  </w:r>
                </w:p>
              </w:tc>
              <w:tc>
                <w:tcPr>
                  <w:tcW w:w="0" w:type="auto"/>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0" w:type="auto"/>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0" w:type="auto"/>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0" w:type="auto"/>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0" w:type="auto"/>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0" w:type="auto"/>
                  <w:tcBorders>
                    <w:top w:val="nil"/>
                    <w:left w:val="nil"/>
                    <w:bottom w:val="single" w:color="808080" w:sz="4" w:space="0"/>
                    <w:right w:val="nil"/>
                  </w:tcBorders>
                  <w:shd w:val="clear" w:color="auto" w:fill="auto"/>
                  <w:noWrap/>
                  <w:vAlign w:val="center"/>
                </w:tcPr>
                <w:p>
                  <w:pPr>
                    <w:widowControl/>
                    <w:jc w:val="right"/>
                    <w:rPr>
                      <w:rFonts w:ascii="宋体" w:hAnsi="宋体" w:eastAsia="宋体" w:cs="Arial"/>
                      <w:kern w:val="0"/>
                      <w:sz w:val="22"/>
                    </w:rPr>
                  </w:pPr>
                  <w:r>
                    <w:rPr>
                      <w:rFonts w:hint="eastAsia" w:ascii="宋体" w:hAnsi="宋体" w:eastAsia="宋体" w:cs="Arial"/>
                      <w:kern w:val="0"/>
                      <w:sz w:val="22"/>
                    </w:rPr>
                    <w:t>金额单位：元</w:t>
                  </w:r>
                </w:p>
              </w:tc>
            </w:tr>
            <w:tr>
              <w:tblPrEx>
                <w:tblCellMar>
                  <w:top w:w="0" w:type="dxa"/>
                  <w:left w:w="108" w:type="dxa"/>
                  <w:bottom w:w="0" w:type="dxa"/>
                  <w:right w:w="108" w:type="dxa"/>
                </w:tblCellMar>
              </w:tblPrEx>
              <w:trPr>
                <w:trHeight w:val="300" w:hRule="atLeast"/>
              </w:trPr>
              <w:tc>
                <w:tcPr>
                  <w:tcW w:w="0" w:type="auto"/>
                  <w:gridSpan w:val="6"/>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预算数</w:t>
                  </w:r>
                </w:p>
              </w:tc>
              <w:tc>
                <w:tcPr>
                  <w:tcW w:w="0" w:type="auto"/>
                  <w:gridSpan w:val="6"/>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决算数</w:t>
                  </w:r>
                </w:p>
              </w:tc>
            </w:tr>
            <w:tr>
              <w:tblPrEx>
                <w:tblCellMar>
                  <w:top w:w="0" w:type="dxa"/>
                  <w:left w:w="108" w:type="dxa"/>
                  <w:bottom w:w="0" w:type="dxa"/>
                  <w:right w:w="108" w:type="dxa"/>
                </w:tblCellMar>
              </w:tblPrEx>
              <w:trPr>
                <w:trHeight w:val="300" w:hRule="atLeast"/>
              </w:trPr>
              <w:tc>
                <w:tcPr>
                  <w:tcW w:w="0" w:type="auto"/>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合计</w:t>
                  </w:r>
                </w:p>
              </w:tc>
              <w:tc>
                <w:tcPr>
                  <w:tcW w:w="0" w:type="auto"/>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因公出国（境）费</w:t>
                  </w:r>
                </w:p>
              </w:tc>
              <w:tc>
                <w:tcPr>
                  <w:tcW w:w="0" w:type="auto"/>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公务用车购置及运行费</w:t>
                  </w:r>
                </w:p>
              </w:tc>
              <w:tc>
                <w:tcPr>
                  <w:tcW w:w="0" w:type="auto"/>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公务接待费</w:t>
                  </w:r>
                </w:p>
              </w:tc>
              <w:tc>
                <w:tcPr>
                  <w:tcW w:w="0" w:type="auto"/>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合计</w:t>
                  </w:r>
                </w:p>
              </w:tc>
              <w:tc>
                <w:tcPr>
                  <w:tcW w:w="0" w:type="auto"/>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因公出国（境）费</w:t>
                  </w:r>
                </w:p>
              </w:tc>
              <w:tc>
                <w:tcPr>
                  <w:tcW w:w="0" w:type="auto"/>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公务用车购置及运行费</w:t>
                  </w:r>
                </w:p>
              </w:tc>
              <w:tc>
                <w:tcPr>
                  <w:tcW w:w="0" w:type="auto"/>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公务接待费</w:t>
                  </w:r>
                </w:p>
              </w:tc>
            </w:tr>
            <w:tr>
              <w:tblPrEx>
                <w:tblCellMar>
                  <w:top w:w="0" w:type="dxa"/>
                  <w:left w:w="108" w:type="dxa"/>
                  <w:bottom w:w="0" w:type="dxa"/>
                  <w:right w:w="108" w:type="dxa"/>
                </w:tblCellMar>
              </w:tblPrEx>
              <w:trPr>
                <w:trHeight w:val="600" w:hRule="atLeast"/>
              </w:trPr>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0" w:type="auto"/>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小计</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公务用车购置费</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公务用车运行费</w:t>
                  </w:r>
                </w:p>
              </w:tc>
              <w:tc>
                <w:tcPr>
                  <w:tcW w:w="0" w:type="auto"/>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0" w:type="auto"/>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0" w:type="auto"/>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小计</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公务用车购置费</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公务用车运行费</w:t>
                  </w:r>
                </w:p>
              </w:tc>
              <w:tc>
                <w:tcPr>
                  <w:tcW w:w="0" w:type="auto"/>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10</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11</w:t>
                  </w:r>
                </w:p>
              </w:tc>
              <w:tc>
                <w:tcPr>
                  <w:tcW w:w="0" w:type="auto"/>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12</w:t>
                  </w:r>
                </w:p>
              </w:tc>
            </w:tr>
            <w:tr>
              <w:tblPrEx>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c>
                <w:tcPr>
                  <w:tcW w:w="0" w:type="auto"/>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0.00</w:t>
                  </w:r>
                </w:p>
              </w:tc>
            </w:tr>
            <w:tr>
              <w:tblPrEx>
                <w:tblCellMar>
                  <w:top w:w="0" w:type="dxa"/>
                  <w:left w:w="108" w:type="dxa"/>
                  <w:bottom w:w="0" w:type="dxa"/>
                  <w:right w:w="108" w:type="dxa"/>
                </w:tblCellMar>
              </w:tblPrEx>
              <w:trPr>
                <w:trHeight w:val="600" w:hRule="atLeast"/>
              </w:trPr>
              <w:tc>
                <w:tcPr>
                  <w:tcW w:w="0" w:type="auto"/>
                  <w:gridSpan w:val="12"/>
                  <w:tcBorders>
                    <w:top w:val="nil"/>
                    <w:left w:val="nil"/>
                    <w:bottom w:val="nil"/>
                    <w:right w:val="nil"/>
                  </w:tcBorders>
                  <w:shd w:val="clear" w:color="auto" w:fill="auto"/>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三公”经费支出预决算情况。其中，预算数为“三公”经费全年预算数，反映按规定程序调整后的预算数；决算数是包括当年一般公共预算财政拨款和以前年度结转资金安排的实际支出。</w:t>
                  </w:r>
                </w:p>
              </w:tc>
            </w:tr>
          </w:tbl>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tbl>
            <w:tblPr>
              <w:tblStyle w:val="6"/>
              <w:tblW w:w="12714" w:type="dxa"/>
              <w:jc w:val="center"/>
              <w:tblLayout w:type="autofit"/>
              <w:tblCellMar>
                <w:top w:w="0" w:type="dxa"/>
                <w:left w:w="108" w:type="dxa"/>
                <w:bottom w:w="0" w:type="dxa"/>
                <w:right w:w="108" w:type="dxa"/>
              </w:tblCellMar>
            </w:tblPr>
            <w:tblGrid>
              <w:gridCol w:w="222"/>
              <w:gridCol w:w="222"/>
              <w:gridCol w:w="222"/>
              <w:gridCol w:w="1983"/>
              <w:gridCol w:w="1701"/>
              <w:gridCol w:w="1560"/>
              <w:gridCol w:w="1417"/>
              <w:gridCol w:w="1559"/>
              <w:gridCol w:w="1560"/>
              <w:gridCol w:w="2268"/>
            </w:tblGrid>
            <w:tr>
              <w:tblPrEx>
                <w:tblCellMar>
                  <w:top w:w="0" w:type="dxa"/>
                  <w:left w:w="108" w:type="dxa"/>
                  <w:bottom w:w="0" w:type="dxa"/>
                  <w:right w:w="108" w:type="dxa"/>
                </w:tblCellMar>
              </w:tblPrEx>
              <w:trPr>
                <w:trHeight w:val="375" w:hRule="atLeast"/>
                <w:jc w:val="center"/>
              </w:trPr>
              <w:tc>
                <w:tcPr>
                  <w:tcW w:w="12714" w:type="dxa"/>
                  <w:gridSpan w:val="10"/>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0"/>
                      <w:szCs w:val="30"/>
                    </w:rPr>
                  </w:pPr>
                </w:p>
                <w:p>
                  <w:pPr>
                    <w:widowControl/>
                    <w:jc w:val="center"/>
                    <w:rPr>
                      <w:rFonts w:ascii="黑体" w:hAnsi="黑体" w:eastAsia="黑体" w:cs="Arial"/>
                      <w:color w:val="000000"/>
                      <w:kern w:val="0"/>
                      <w:sz w:val="30"/>
                      <w:szCs w:val="30"/>
                    </w:rPr>
                  </w:pPr>
                </w:p>
                <w:p>
                  <w:pPr>
                    <w:widowControl/>
                    <w:jc w:val="center"/>
                    <w:rPr>
                      <w:rFonts w:ascii="黑体" w:hAnsi="黑体" w:eastAsia="黑体" w:cs="Arial"/>
                      <w:color w:val="000000"/>
                      <w:kern w:val="0"/>
                      <w:sz w:val="10"/>
                      <w:szCs w:val="10"/>
                    </w:rPr>
                  </w:pPr>
                  <w:r>
                    <w:rPr>
                      <w:rFonts w:hint="eastAsia" w:ascii="黑体" w:hAnsi="黑体" w:eastAsia="黑体" w:cs="Arial"/>
                      <w:color w:val="000000"/>
                      <w:kern w:val="0"/>
                      <w:sz w:val="30"/>
                      <w:szCs w:val="30"/>
                    </w:rPr>
                    <w:t>政府性基金预算财政拨款收入支出决算表</w:t>
                  </w:r>
                </w:p>
                <w:p>
                  <w:pPr>
                    <w:widowControl/>
                    <w:jc w:val="center"/>
                    <w:rPr>
                      <w:rFonts w:ascii="黑体" w:hAnsi="黑体" w:eastAsia="黑体" w:cs="Arial"/>
                      <w:color w:val="000000"/>
                      <w:kern w:val="0"/>
                      <w:sz w:val="10"/>
                      <w:szCs w:val="10"/>
                    </w:rPr>
                  </w:pPr>
                </w:p>
              </w:tc>
            </w:tr>
            <w:tr>
              <w:tblPrEx>
                <w:tblCellMar>
                  <w:top w:w="0" w:type="dxa"/>
                  <w:left w:w="108" w:type="dxa"/>
                  <w:bottom w:w="0" w:type="dxa"/>
                  <w:right w:w="108" w:type="dxa"/>
                </w:tblCellMar>
              </w:tblPrEx>
              <w:trPr>
                <w:trHeight w:val="300" w:hRule="atLeast"/>
                <w:jc w:val="center"/>
              </w:trPr>
              <w:tc>
                <w:tcPr>
                  <w:tcW w:w="222" w:type="dxa"/>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0"/>
                      <w:szCs w:val="30"/>
                    </w:rPr>
                  </w:pPr>
                </w:p>
              </w:tc>
              <w:tc>
                <w:tcPr>
                  <w:tcW w:w="222"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22"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983"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701"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56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417"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559"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56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268" w:type="dxa"/>
                  <w:tcBorders>
                    <w:top w:val="nil"/>
                    <w:left w:val="nil"/>
                    <w:bottom w:val="nil"/>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公开08表</w:t>
                  </w:r>
                </w:p>
              </w:tc>
            </w:tr>
            <w:tr>
              <w:tblPrEx>
                <w:tblCellMar>
                  <w:top w:w="0" w:type="dxa"/>
                  <w:left w:w="108" w:type="dxa"/>
                  <w:bottom w:w="0" w:type="dxa"/>
                  <w:right w:w="108" w:type="dxa"/>
                </w:tblCellMar>
              </w:tblPrEx>
              <w:trPr>
                <w:trHeight w:val="300" w:hRule="atLeast"/>
                <w:jc w:val="center"/>
              </w:trPr>
              <w:tc>
                <w:tcPr>
                  <w:tcW w:w="2649" w:type="dxa"/>
                  <w:gridSpan w:val="4"/>
                  <w:tcBorders>
                    <w:top w:val="nil"/>
                    <w:left w:val="nil"/>
                    <w:bottom w:val="single" w:color="808080" w:sz="4" w:space="0"/>
                    <w:right w:val="nil"/>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部门：湖南省生物研究所</w:t>
                  </w:r>
                </w:p>
              </w:tc>
              <w:tc>
                <w:tcPr>
                  <w:tcW w:w="1701" w:type="dxa"/>
                  <w:tcBorders>
                    <w:top w:val="nil"/>
                    <w:left w:val="nil"/>
                    <w:bottom w:val="single" w:color="808080" w:sz="4" w:space="0"/>
                    <w:right w:val="nil"/>
                  </w:tcBorders>
                  <w:shd w:val="clear" w:color="auto" w:fill="auto"/>
                  <w:noWrap/>
                  <w:vAlign w:val="center"/>
                </w:tcPr>
                <w:p>
                  <w:pPr>
                    <w:widowControl/>
                    <w:jc w:val="center"/>
                    <w:rPr>
                      <w:rFonts w:ascii="宋体" w:hAnsi="宋体" w:eastAsia="宋体" w:cs="Arial"/>
                      <w:color w:val="000000"/>
                      <w:kern w:val="0"/>
                      <w:sz w:val="22"/>
                    </w:rPr>
                  </w:pPr>
                </w:p>
              </w:tc>
              <w:tc>
                <w:tcPr>
                  <w:tcW w:w="1560" w:type="dxa"/>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417" w:type="dxa"/>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color w:val="000000"/>
                      <w:kern w:val="0"/>
                      <w:sz w:val="22"/>
                    </w:rPr>
                    <w:t>2021年度</w:t>
                  </w:r>
                </w:p>
              </w:tc>
              <w:tc>
                <w:tcPr>
                  <w:tcW w:w="1559" w:type="dxa"/>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560" w:type="dxa"/>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268" w:type="dxa"/>
                  <w:tcBorders>
                    <w:top w:val="nil"/>
                    <w:left w:val="nil"/>
                    <w:bottom w:val="single" w:color="808080" w:sz="4" w:space="0"/>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金额单位：元</w:t>
                  </w:r>
                </w:p>
              </w:tc>
            </w:tr>
            <w:tr>
              <w:tblPrEx>
                <w:tblCellMar>
                  <w:top w:w="0" w:type="dxa"/>
                  <w:left w:w="108" w:type="dxa"/>
                  <w:bottom w:w="0" w:type="dxa"/>
                  <w:right w:w="108" w:type="dxa"/>
                </w:tblCellMar>
              </w:tblPrEx>
              <w:trPr>
                <w:trHeight w:val="300" w:hRule="atLeast"/>
                <w:jc w:val="center"/>
              </w:trPr>
              <w:tc>
                <w:tcPr>
                  <w:tcW w:w="2649" w:type="dxa"/>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1701"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年初结转和结余</w:t>
                  </w:r>
                </w:p>
              </w:tc>
              <w:tc>
                <w:tcPr>
                  <w:tcW w:w="1560"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本年收入</w:t>
                  </w:r>
                </w:p>
              </w:tc>
              <w:tc>
                <w:tcPr>
                  <w:tcW w:w="4536"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本年支出</w:t>
                  </w:r>
                </w:p>
              </w:tc>
              <w:tc>
                <w:tcPr>
                  <w:tcW w:w="2268"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年末结转和结余</w:t>
                  </w:r>
                </w:p>
              </w:tc>
            </w:tr>
            <w:tr>
              <w:tblPrEx>
                <w:tblCellMar>
                  <w:top w:w="0" w:type="dxa"/>
                  <w:left w:w="108" w:type="dxa"/>
                  <w:bottom w:w="0" w:type="dxa"/>
                  <w:right w:w="108" w:type="dxa"/>
                </w:tblCellMar>
              </w:tblPrEx>
              <w:trPr>
                <w:trHeight w:val="312" w:hRule="atLeast"/>
                <w:jc w:val="center"/>
              </w:trPr>
              <w:tc>
                <w:tcPr>
                  <w:tcW w:w="666"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功能分类科目编码</w:t>
                  </w:r>
                </w:p>
              </w:tc>
              <w:tc>
                <w:tcPr>
                  <w:tcW w:w="1983" w:type="dxa"/>
                  <w:vMerge w:val="restar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170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6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17"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小计</w:t>
                  </w:r>
                </w:p>
              </w:tc>
              <w:tc>
                <w:tcPr>
                  <w:tcW w:w="1559"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基本支出</w:t>
                  </w:r>
                </w:p>
              </w:tc>
              <w:tc>
                <w:tcPr>
                  <w:tcW w:w="1560"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项目支出</w:t>
                  </w:r>
                </w:p>
              </w:tc>
              <w:tc>
                <w:tcPr>
                  <w:tcW w:w="2268"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jc w:val="center"/>
              </w:trPr>
              <w:tc>
                <w:tcPr>
                  <w:tcW w:w="666"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98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70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6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1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5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6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268"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jc w:val="center"/>
              </w:trPr>
              <w:tc>
                <w:tcPr>
                  <w:tcW w:w="666"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98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70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6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1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5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6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268"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00" w:hRule="atLeast"/>
                <w:jc w:val="center"/>
              </w:trPr>
              <w:tc>
                <w:tcPr>
                  <w:tcW w:w="2649" w:type="dxa"/>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栏次</w:t>
                  </w:r>
                </w:p>
              </w:tc>
              <w:tc>
                <w:tcPr>
                  <w:tcW w:w="1701"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1560"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1417"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1559"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1560"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2268"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r>
            <w:tr>
              <w:tblPrEx>
                <w:tblCellMar>
                  <w:top w:w="0" w:type="dxa"/>
                  <w:left w:w="108" w:type="dxa"/>
                  <w:bottom w:w="0" w:type="dxa"/>
                  <w:right w:w="108" w:type="dxa"/>
                </w:tblCellMar>
              </w:tblPrEx>
              <w:trPr>
                <w:trHeight w:val="300" w:hRule="atLeast"/>
                <w:jc w:val="center"/>
              </w:trPr>
              <w:tc>
                <w:tcPr>
                  <w:tcW w:w="2649" w:type="dxa"/>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合计</w:t>
                  </w:r>
                </w:p>
              </w:tc>
              <w:tc>
                <w:tcPr>
                  <w:tcW w:w="170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4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26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300" w:hRule="atLeast"/>
                <w:jc w:val="center"/>
              </w:trPr>
              <w:tc>
                <w:tcPr>
                  <w:tcW w:w="66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983"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70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1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5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6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226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jc w:val="center"/>
              </w:trPr>
              <w:tc>
                <w:tcPr>
                  <w:tcW w:w="12714" w:type="dxa"/>
                  <w:gridSpan w:val="10"/>
                  <w:tcBorders>
                    <w:top w:val="nil"/>
                    <w:left w:val="nil"/>
                    <w:bottom w:val="nil"/>
                    <w:right w:val="nil"/>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注：本表反映部门本年度政府性基金预算财政拨款收入、支出及结转和结余情况。</w:t>
                  </w:r>
                </w:p>
              </w:tc>
            </w:tr>
          </w:tbl>
          <w:p>
            <w:pPr>
              <w:widowControl/>
              <w:ind w:firstLine="1200" w:firstLineChars="600"/>
              <w:jc w:val="left"/>
              <w:rPr>
                <w:rFonts w:cs="Times New Roman" w:asciiTheme="minorEastAsia" w:hAnsiTheme="minorEastAsia"/>
                <w:kern w:val="0"/>
                <w:sz w:val="20"/>
                <w:szCs w:val="20"/>
              </w:rPr>
            </w:pPr>
            <w:r>
              <w:rPr>
                <w:rFonts w:cs="Times New Roman" w:asciiTheme="minorEastAsia" w:hAnsiTheme="minorEastAsia"/>
                <w:kern w:val="0"/>
                <w:sz w:val="20"/>
                <w:szCs w:val="20"/>
              </w:rPr>
              <w:t>(</w:t>
            </w:r>
            <w:r>
              <w:rPr>
                <w:rFonts w:hint="eastAsia" w:cs="Times New Roman" w:asciiTheme="minorEastAsia" w:hAnsiTheme="minorEastAsia"/>
                <w:kern w:val="0"/>
                <w:sz w:val="20"/>
                <w:szCs w:val="20"/>
              </w:rPr>
              <w:t>说明：湖南省生物研究所没有政府性基金收入，也没有使用政府性基金安排的支出，故本表无数据</w:t>
            </w:r>
            <w:r>
              <w:rPr>
                <w:rFonts w:cs="Times New Roman" w:asciiTheme="minorEastAsia" w:hAnsiTheme="minorEastAsia"/>
                <w:kern w:val="0"/>
                <w:sz w:val="20"/>
                <w:szCs w:val="20"/>
              </w:rPr>
              <w:t>)。</w:t>
            </w: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tbl>
            <w:tblPr>
              <w:tblStyle w:val="6"/>
              <w:tblW w:w="12191" w:type="dxa"/>
              <w:jc w:val="center"/>
              <w:tblLayout w:type="autofit"/>
              <w:tblCellMar>
                <w:top w:w="0" w:type="dxa"/>
                <w:left w:w="108" w:type="dxa"/>
                <w:bottom w:w="0" w:type="dxa"/>
                <w:right w:w="108" w:type="dxa"/>
              </w:tblCellMar>
            </w:tblPr>
            <w:tblGrid>
              <w:gridCol w:w="817"/>
              <w:gridCol w:w="817"/>
              <w:gridCol w:w="947"/>
              <w:gridCol w:w="2126"/>
              <w:gridCol w:w="2410"/>
              <w:gridCol w:w="2551"/>
              <w:gridCol w:w="2523"/>
            </w:tblGrid>
            <w:tr>
              <w:tblPrEx>
                <w:tblCellMar>
                  <w:top w:w="0" w:type="dxa"/>
                  <w:left w:w="108" w:type="dxa"/>
                  <w:bottom w:w="0" w:type="dxa"/>
                  <w:right w:w="108" w:type="dxa"/>
                </w:tblCellMar>
              </w:tblPrEx>
              <w:trPr>
                <w:trHeight w:val="375" w:hRule="atLeast"/>
                <w:jc w:val="center"/>
              </w:trPr>
              <w:tc>
                <w:tcPr>
                  <w:tcW w:w="12191" w:type="dxa"/>
                  <w:gridSpan w:val="7"/>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0"/>
                      <w:szCs w:val="30"/>
                    </w:rPr>
                  </w:pPr>
                </w:p>
                <w:p>
                  <w:pPr>
                    <w:widowControl/>
                    <w:jc w:val="center"/>
                    <w:rPr>
                      <w:rFonts w:ascii="黑体" w:hAnsi="黑体" w:eastAsia="黑体" w:cs="Arial"/>
                      <w:color w:val="000000"/>
                      <w:kern w:val="0"/>
                      <w:sz w:val="30"/>
                      <w:szCs w:val="30"/>
                    </w:rPr>
                  </w:pPr>
                </w:p>
                <w:p>
                  <w:pPr>
                    <w:widowControl/>
                    <w:jc w:val="center"/>
                    <w:rPr>
                      <w:rFonts w:ascii="黑体" w:hAnsi="黑体" w:eastAsia="黑体" w:cs="Arial"/>
                      <w:color w:val="000000"/>
                      <w:kern w:val="0"/>
                      <w:sz w:val="30"/>
                      <w:szCs w:val="30"/>
                    </w:rPr>
                  </w:pPr>
                  <w:r>
                    <w:rPr>
                      <w:rFonts w:hint="eastAsia" w:ascii="黑体" w:hAnsi="黑体" w:eastAsia="黑体" w:cs="Arial"/>
                      <w:color w:val="000000"/>
                      <w:kern w:val="0"/>
                      <w:sz w:val="30"/>
                      <w:szCs w:val="30"/>
                    </w:rPr>
                    <w:t>国有资本经营预算财政拨款支出决算表</w:t>
                  </w:r>
                </w:p>
              </w:tc>
            </w:tr>
            <w:tr>
              <w:tblPrEx>
                <w:tblCellMar>
                  <w:top w:w="0" w:type="dxa"/>
                  <w:left w:w="108" w:type="dxa"/>
                  <w:bottom w:w="0" w:type="dxa"/>
                  <w:right w:w="108" w:type="dxa"/>
                </w:tblCellMar>
              </w:tblPrEx>
              <w:trPr>
                <w:trHeight w:val="300" w:hRule="atLeast"/>
                <w:jc w:val="center"/>
              </w:trPr>
              <w:tc>
                <w:tcPr>
                  <w:tcW w:w="817" w:type="dxa"/>
                  <w:tcBorders>
                    <w:top w:val="nil"/>
                    <w:left w:val="nil"/>
                    <w:bottom w:val="nil"/>
                    <w:right w:val="nil"/>
                  </w:tcBorders>
                  <w:shd w:val="clear" w:color="auto" w:fill="auto"/>
                  <w:noWrap/>
                  <w:vAlign w:val="center"/>
                </w:tcPr>
                <w:p>
                  <w:pPr>
                    <w:widowControl/>
                    <w:jc w:val="center"/>
                    <w:rPr>
                      <w:rFonts w:ascii="黑体" w:hAnsi="黑体" w:eastAsia="黑体" w:cs="Arial"/>
                      <w:color w:val="000000"/>
                      <w:kern w:val="0"/>
                      <w:sz w:val="30"/>
                      <w:szCs w:val="30"/>
                    </w:rPr>
                  </w:pPr>
                </w:p>
              </w:tc>
              <w:tc>
                <w:tcPr>
                  <w:tcW w:w="817"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947"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126"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41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551"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523"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jc w:val="center"/>
              </w:trPr>
              <w:tc>
                <w:tcPr>
                  <w:tcW w:w="817"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817"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947"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126"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41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551"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523" w:type="dxa"/>
                  <w:tcBorders>
                    <w:top w:val="nil"/>
                    <w:left w:val="nil"/>
                    <w:bottom w:val="nil"/>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公开09表</w:t>
                  </w:r>
                </w:p>
              </w:tc>
            </w:tr>
            <w:tr>
              <w:tblPrEx>
                <w:tblCellMar>
                  <w:top w:w="0" w:type="dxa"/>
                  <w:left w:w="108" w:type="dxa"/>
                  <w:bottom w:w="0" w:type="dxa"/>
                  <w:right w:w="108" w:type="dxa"/>
                </w:tblCellMar>
              </w:tblPrEx>
              <w:trPr>
                <w:trHeight w:val="300" w:hRule="atLeast"/>
                <w:jc w:val="center"/>
              </w:trPr>
              <w:tc>
                <w:tcPr>
                  <w:tcW w:w="2581" w:type="dxa"/>
                  <w:gridSpan w:val="3"/>
                  <w:tcBorders>
                    <w:top w:val="nil"/>
                    <w:left w:val="nil"/>
                    <w:bottom w:val="single" w:color="808080" w:sz="4" w:space="0"/>
                    <w:right w:val="nil"/>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部门：湖南省生物研究所</w:t>
                  </w:r>
                </w:p>
              </w:tc>
              <w:tc>
                <w:tcPr>
                  <w:tcW w:w="2126" w:type="dxa"/>
                  <w:tcBorders>
                    <w:top w:val="nil"/>
                    <w:left w:val="nil"/>
                    <w:bottom w:val="single" w:color="808080" w:sz="4" w:space="0"/>
                    <w:right w:val="nil"/>
                  </w:tcBorders>
                  <w:shd w:val="clear" w:color="auto" w:fill="auto"/>
                  <w:noWrap/>
                  <w:vAlign w:val="center"/>
                </w:tcPr>
                <w:p>
                  <w:pPr>
                    <w:widowControl/>
                    <w:jc w:val="center"/>
                    <w:rPr>
                      <w:rFonts w:ascii="宋体" w:hAnsi="宋体" w:eastAsia="宋体" w:cs="Arial"/>
                      <w:color w:val="000000"/>
                      <w:kern w:val="0"/>
                      <w:sz w:val="22"/>
                    </w:rPr>
                  </w:pPr>
                </w:p>
              </w:tc>
              <w:tc>
                <w:tcPr>
                  <w:tcW w:w="2410" w:type="dxa"/>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xml:space="preserve">　 </w:t>
                  </w:r>
                  <w:r>
                    <w:rPr>
                      <w:rFonts w:ascii="宋体" w:hAnsi="宋体" w:eastAsia="宋体" w:cs="Arial"/>
                      <w:kern w:val="0"/>
                      <w:sz w:val="18"/>
                      <w:szCs w:val="18"/>
                    </w:rPr>
                    <w:t xml:space="preserve">     </w:t>
                  </w:r>
                  <w:r>
                    <w:rPr>
                      <w:rFonts w:hint="eastAsia" w:ascii="宋体" w:hAnsi="宋体" w:eastAsia="宋体" w:cs="Arial"/>
                      <w:color w:val="000000"/>
                      <w:kern w:val="0"/>
                      <w:sz w:val="22"/>
                    </w:rPr>
                    <w:t>2021年度</w:t>
                  </w:r>
                </w:p>
              </w:tc>
              <w:tc>
                <w:tcPr>
                  <w:tcW w:w="2551" w:type="dxa"/>
                  <w:tcBorders>
                    <w:top w:val="nil"/>
                    <w:left w:val="nil"/>
                    <w:bottom w:val="single" w:color="808080" w:sz="4" w:space="0"/>
                    <w:right w:val="nil"/>
                  </w:tcBorders>
                  <w:shd w:val="clear" w:color="auto" w:fill="auto"/>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523" w:type="dxa"/>
                  <w:tcBorders>
                    <w:top w:val="nil"/>
                    <w:left w:val="nil"/>
                    <w:bottom w:val="single" w:color="808080" w:sz="4" w:space="0"/>
                    <w:right w:val="nil"/>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金额单位：元</w:t>
                  </w:r>
                </w:p>
              </w:tc>
            </w:tr>
            <w:tr>
              <w:tblPrEx>
                <w:tblCellMar>
                  <w:top w:w="0" w:type="dxa"/>
                  <w:left w:w="108" w:type="dxa"/>
                  <w:bottom w:w="0" w:type="dxa"/>
                  <w:right w:w="108" w:type="dxa"/>
                </w:tblCellMar>
              </w:tblPrEx>
              <w:trPr>
                <w:trHeight w:val="300" w:hRule="atLeast"/>
                <w:jc w:val="center"/>
              </w:trPr>
              <w:tc>
                <w:tcPr>
                  <w:tcW w:w="4707" w:type="dxa"/>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项目</w:t>
                  </w:r>
                </w:p>
              </w:tc>
              <w:tc>
                <w:tcPr>
                  <w:tcW w:w="7484"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本年支出</w:t>
                  </w:r>
                </w:p>
              </w:tc>
            </w:tr>
            <w:tr>
              <w:tblPrEx>
                <w:tblCellMar>
                  <w:top w:w="0" w:type="dxa"/>
                  <w:left w:w="108" w:type="dxa"/>
                  <w:bottom w:w="0" w:type="dxa"/>
                  <w:right w:w="108" w:type="dxa"/>
                </w:tblCellMar>
              </w:tblPrEx>
              <w:trPr>
                <w:trHeight w:val="312" w:hRule="atLeast"/>
                <w:jc w:val="center"/>
              </w:trPr>
              <w:tc>
                <w:tcPr>
                  <w:tcW w:w="2581"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功能分类科目编码</w:t>
                  </w:r>
                </w:p>
              </w:tc>
              <w:tc>
                <w:tcPr>
                  <w:tcW w:w="2126" w:type="dxa"/>
                  <w:vMerge w:val="restar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2410"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合计</w:t>
                  </w:r>
                </w:p>
              </w:tc>
              <w:tc>
                <w:tcPr>
                  <w:tcW w:w="2551"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基本支出</w:t>
                  </w:r>
                </w:p>
              </w:tc>
              <w:tc>
                <w:tcPr>
                  <w:tcW w:w="2523"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项目支出</w:t>
                  </w:r>
                </w:p>
              </w:tc>
            </w:tr>
            <w:tr>
              <w:tblPrEx>
                <w:tblCellMar>
                  <w:top w:w="0" w:type="dxa"/>
                  <w:left w:w="108" w:type="dxa"/>
                  <w:bottom w:w="0" w:type="dxa"/>
                  <w:right w:w="108" w:type="dxa"/>
                </w:tblCellMar>
              </w:tblPrEx>
              <w:trPr>
                <w:trHeight w:val="312" w:hRule="atLeast"/>
                <w:jc w:val="center"/>
              </w:trPr>
              <w:tc>
                <w:tcPr>
                  <w:tcW w:w="2581"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12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41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55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52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jc w:val="center"/>
              </w:trPr>
              <w:tc>
                <w:tcPr>
                  <w:tcW w:w="2581"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12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410"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551"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523"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00" w:hRule="atLeast"/>
                <w:jc w:val="center"/>
              </w:trPr>
              <w:tc>
                <w:tcPr>
                  <w:tcW w:w="4707" w:type="dxa"/>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栏次</w:t>
                  </w:r>
                </w:p>
              </w:tc>
              <w:tc>
                <w:tcPr>
                  <w:tcW w:w="2410"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2551"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2523" w:type="dxa"/>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r>
            <w:tr>
              <w:tblPrEx>
                <w:tblCellMar>
                  <w:top w:w="0" w:type="dxa"/>
                  <w:left w:w="108" w:type="dxa"/>
                  <w:bottom w:w="0" w:type="dxa"/>
                  <w:right w:w="108" w:type="dxa"/>
                </w:tblCellMar>
              </w:tblPrEx>
              <w:trPr>
                <w:trHeight w:val="300" w:hRule="atLeast"/>
                <w:jc w:val="center"/>
              </w:trPr>
              <w:tc>
                <w:tcPr>
                  <w:tcW w:w="4707" w:type="dxa"/>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合计</w:t>
                  </w:r>
                </w:p>
              </w:tc>
              <w:tc>
                <w:tcPr>
                  <w:tcW w:w="241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55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lang w:val="en-US" w:eastAsia="zh-CN"/>
                    </w:rPr>
                    <w:t>0.00</w:t>
                  </w:r>
                  <w:r>
                    <w:rPr>
                      <w:rFonts w:hint="eastAsia" w:ascii="宋体" w:hAnsi="宋体" w:eastAsia="宋体" w:cs="Arial"/>
                      <w:b/>
                      <w:bCs/>
                      <w:kern w:val="0"/>
                      <w:sz w:val="20"/>
                      <w:szCs w:val="20"/>
                    </w:rPr>
                    <w:t>　</w:t>
                  </w:r>
                </w:p>
              </w:tc>
              <w:tc>
                <w:tcPr>
                  <w:tcW w:w="252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300" w:hRule="atLeast"/>
                <w:jc w:val="center"/>
              </w:trPr>
              <w:tc>
                <w:tcPr>
                  <w:tcW w:w="2581"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12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41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255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252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00" w:hRule="atLeast"/>
                <w:jc w:val="center"/>
              </w:trPr>
              <w:tc>
                <w:tcPr>
                  <w:tcW w:w="12191" w:type="dxa"/>
                  <w:gridSpan w:val="7"/>
                  <w:tcBorders>
                    <w:top w:val="nil"/>
                    <w:left w:val="nil"/>
                    <w:bottom w:val="nil"/>
                    <w:right w:val="nil"/>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注：本表反映部门本年度国有资本经营预算财政拨款支出情况。</w:t>
                  </w:r>
                </w:p>
              </w:tc>
            </w:tr>
          </w:tbl>
          <w:p>
            <w:pPr>
              <w:widowControl/>
              <w:rPr>
                <w:rFonts w:hint="default" w:ascii="华文中宋" w:hAnsi="华文中宋" w:eastAsia="华文中宋" w:cs="宋体"/>
                <w:color w:val="000000"/>
                <w:kern w:val="0"/>
                <w:sz w:val="32"/>
                <w:szCs w:val="32"/>
                <w:lang w:val="en-US" w:eastAsia="zh-CN"/>
              </w:rPr>
            </w:pPr>
            <w:r>
              <w:rPr>
                <w:rFonts w:hint="eastAsia" w:ascii="华文中宋" w:hAnsi="华文中宋" w:eastAsia="华文中宋" w:cs="宋体"/>
                <w:color w:val="000000"/>
                <w:kern w:val="0"/>
                <w:sz w:val="32"/>
                <w:szCs w:val="32"/>
                <w:lang w:val="en-US" w:eastAsia="zh-CN"/>
              </w:rPr>
              <w:t xml:space="preserve">          </w:t>
            </w:r>
            <w:bookmarkStart w:id="0" w:name="_GoBack"/>
            <w:bookmarkEnd w:id="0"/>
            <w:r>
              <w:rPr>
                <w:rFonts w:hint="eastAsia" w:ascii="华文中宋" w:hAnsi="华文中宋" w:eastAsia="华文中宋" w:cs="宋体"/>
                <w:color w:val="000000"/>
                <w:kern w:val="0"/>
                <w:sz w:val="21"/>
                <w:szCs w:val="21"/>
                <w:lang w:val="en-US" w:eastAsia="zh-CN"/>
              </w:rPr>
              <w:t>说明：我单位没有使用国有资本经营预算安排的支出，故本表无数据。</w:t>
            </w: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p>
            <w:pPr>
              <w:widowControl/>
              <w:rPr>
                <w:rFonts w:ascii="华文中宋" w:hAnsi="华文中宋" w:eastAsia="华文中宋" w:cs="宋体"/>
                <w:color w:val="000000"/>
                <w:kern w:val="0"/>
                <w:sz w:val="32"/>
                <w:szCs w:val="32"/>
              </w:rPr>
            </w:pPr>
          </w:p>
        </w:tc>
      </w:tr>
    </w:tbl>
    <w:p>
      <w:pPr>
        <w:widowControl/>
        <w:jc w:val="left"/>
        <w:rPr>
          <w:rFonts w:ascii="Times New Roman" w:hAnsi="Times New Roman" w:eastAsia="黑体" w:cs="Times New Roman"/>
          <w:bCs/>
          <w:kern w:val="0"/>
          <w:sz w:val="32"/>
          <w:szCs w:val="32"/>
        </w:rPr>
        <w:sectPr>
          <w:pgSz w:w="16838" w:h="11906" w:orient="landscape"/>
          <w:pgMar w:top="720" w:right="720" w:bottom="720" w:left="720" w:header="851" w:footer="992" w:gutter="0"/>
          <w:cols w:space="425" w:num="1"/>
          <w:docGrid w:type="lines" w:linePitch="312" w:charSpace="0"/>
        </w:sect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r>
        <w:rPr>
          <w:rFonts w:hint="eastAsia"/>
          <w:sz w:val="72"/>
          <w:szCs w:val="72"/>
        </w:rPr>
        <w:t>第三部分</w:t>
      </w:r>
    </w:p>
    <w:p>
      <w:pPr>
        <w:pStyle w:val="10"/>
        <w:jc w:val="center"/>
        <w:rPr>
          <w:sz w:val="70"/>
          <w:szCs w:val="70"/>
        </w:rPr>
      </w:pPr>
    </w:p>
    <w:p>
      <w:pPr>
        <w:pStyle w:val="10"/>
        <w:jc w:val="center"/>
        <w:rPr>
          <w:sz w:val="69"/>
          <w:szCs w:val="69"/>
        </w:rPr>
      </w:pPr>
      <w:r>
        <w:rPr>
          <w:sz w:val="69"/>
          <w:szCs w:val="69"/>
        </w:rPr>
        <w:t>20</w:t>
      </w:r>
      <w:r>
        <w:rPr>
          <w:rFonts w:hint="eastAsia"/>
          <w:sz w:val="69"/>
          <w:szCs w:val="69"/>
        </w:rPr>
        <w:t>21年度部门决算情况说明</w:t>
      </w:r>
    </w:p>
    <w:p>
      <w:pPr>
        <w:widowControl/>
        <w:jc w:val="left"/>
        <w:rPr>
          <w:rFonts w:ascii="黑体" w:eastAsia="黑体" w:cs="黑体"/>
          <w:color w:val="000000"/>
          <w:kern w:val="0"/>
          <w:sz w:val="70"/>
          <w:szCs w:val="70"/>
        </w:rPr>
      </w:pPr>
      <w:r>
        <w:rPr>
          <w:sz w:val="70"/>
          <w:szCs w:val="70"/>
        </w:rPr>
        <w:br w:type="page"/>
      </w:r>
    </w:p>
    <w:p>
      <w:pPr>
        <w:pStyle w:val="10"/>
        <w:rPr>
          <w:rFonts w:hAnsi="黑体"/>
          <w:b/>
          <w:sz w:val="32"/>
          <w:szCs w:val="32"/>
        </w:rPr>
      </w:pPr>
      <w:r>
        <w:rPr>
          <w:rFonts w:hint="eastAsia" w:hAnsi="黑体"/>
          <w:b/>
          <w:sz w:val="32"/>
          <w:szCs w:val="32"/>
        </w:rPr>
        <w:t>一、收入支出决算总体情况说明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2021年度收、支总计1081.69万元。与上年相比，增加239.01万元，增长2</w:t>
      </w:r>
      <w:r>
        <w:rPr>
          <w:rFonts w:asciiTheme="minorEastAsia" w:hAnsiTheme="minorEastAsia" w:eastAsiaTheme="minorEastAsia"/>
          <w:sz w:val="32"/>
          <w:szCs w:val="32"/>
        </w:rPr>
        <w:t>8.36</w:t>
      </w:r>
      <w:r>
        <w:rPr>
          <w:rFonts w:hint="eastAsia" w:asciiTheme="minorEastAsia" w:hAnsiTheme="minorEastAsia" w:eastAsiaTheme="minorEastAsia"/>
          <w:sz w:val="32"/>
          <w:szCs w:val="32"/>
        </w:rPr>
        <w:t>%，主要是因为从湖南师大生命科学学院新调拨入职14人，全年新增人员经费的增加。</w:t>
      </w:r>
    </w:p>
    <w:p>
      <w:pPr>
        <w:pStyle w:val="10"/>
        <w:rPr>
          <w:rFonts w:hAnsi="黑体"/>
          <w:b/>
          <w:sz w:val="32"/>
          <w:szCs w:val="32"/>
        </w:rPr>
      </w:pPr>
      <w:r>
        <w:rPr>
          <w:rFonts w:hint="eastAsia" w:hAnsi="黑体"/>
          <w:b/>
          <w:sz w:val="32"/>
          <w:szCs w:val="32"/>
        </w:rPr>
        <w:t>二、收入决算情况说明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2021年度收入合计1066.76万元，其中：财政拨款收入393.18万元，占36.86%；事业收入14.56万元，占1.36%；其他收入659.0</w:t>
      </w:r>
      <w:r>
        <w:rPr>
          <w:rFonts w:asciiTheme="minorEastAsia" w:hAnsiTheme="minorEastAsia" w:eastAsiaTheme="minorEastAsia"/>
          <w:sz w:val="32"/>
          <w:szCs w:val="32"/>
        </w:rPr>
        <w:t>2</w:t>
      </w:r>
      <w:r>
        <w:rPr>
          <w:rFonts w:hint="eastAsia" w:asciiTheme="minorEastAsia" w:hAnsiTheme="minorEastAsia" w:eastAsiaTheme="minorEastAsia"/>
          <w:sz w:val="32"/>
          <w:szCs w:val="32"/>
        </w:rPr>
        <w:t>万元，占61.78%。</w:t>
      </w:r>
    </w:p>
    <w:p>
      <w:pPr>
        <w:pStyle w:val="10"/>
        <w:rPr>
          <w:rFonts w:hAnsi="黑体"/>
          <w:b/>
          <w:sz w:val="32"/>
          <w:szCs w:val="32"/>
        </w:rPr>
      </w:pPr>
      <w:r>
        <w:rPr>
          <w:rFonts w:hint="eastAsia" w:hAnsi="黑体"/>
          <w:b/>
          <w:sz w:val="32"/>
          <w:szCs w:val="32"/>
        </w:rPr>
        <w:t>三、支出决算情况说明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2021年度支出合计1081.69万元，其中：基本支出1067.13万元，占98.65%；项目支出14.56万元，占1.35%。</w:t>
      </w:r>
    </w:p>
    <w:p>
      <w:pPr>
        <w:pStyle w:val="10"/>
        <w:rPr>
          <w:rFonts w:hAnsi="黑体"/>
          <w:b/>
          <w:sz w:val="32"/>
          <w:szCs w:val="32"/>
        </w:rPr>
      </w:pPr>
      <w:r>
        <w:rPr>
          <w:rFonts w:hint="eastAsia" w:hAnsi="黑体"/>
          <w:b/>
          <w:sz w:val="32"/>
          <w:szCs w:val="32"/>
        </w:rPr>
        <w:t>四、财政拨款收入支出决算总体情况说明</w:t>
      </w:r>
    </w:p>
    <w:p>
      <w:pPr>
        <w:pStyle w:val="10"/>
        <w:ind w:firstLine="645"/>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2021年度财政拨款收、支总计393.18万元，与上年相比，增加</w:t>
      </w:r>
      <w:r>
        <w:rPr>
          <w:rFonts w:asciiTheme="minorEastAsia" w:hAnsiTheme="minorEastAsia" w:eastAsiaTheme="minorEastAsia"/>
          <w:sz w:val="32"/>
          <w:szCs w:val="32"/>
        </w:rPr>
        <w:t>51.33</w:t>
      </w:r>
      <w:r>
        <w:rPr>
          <w:rFonts w:hint="eastAsia" w:asciiTheme="minorEastAsia" w:hAnsiTheme="minorEastAsia" w:eastAsiaTheme="minorEastAsia"/>
          <w:sz w:val="32"/>
          <w:szCs w:val="32"/>
        </w:rPr>
        <w:t>万元,增长</w:t>
      </w:r>
      <w:r>
        <w:rPr>
          <w:rFonts w:asciiTheme="minorEastAsia" w:hAnsiTheme="minorEastAsia" w:eastAsiaTheme="minorEastAsia"/>
          <w:sz w:val="32"/>
          <w:szCs w:val="32"/>
        </w:rPr>
        <w:t>15.02</w:t>
      </w:r>
      <w:r>
        <w:rPr>
          <w:rFonts w:hint="eastAsia" w:asciiTheme="minorEastAsia" w:hAnsiTheme="minorEastAsia" w:eastAsiaTheme="minorEastAsia"/>
          <w:sz w:val="32"/>
          <w:szCs w:val="32"/>
        </w:rPr>
        <w:t>%，主要是因为人员增加増拨了人员经费。</w:t>
      </w:r>
    </w:p>
    <w:p>
      <w:pPr>
        <w:pStyle w:val="10"/>
        <w:rPr>
          <w:rFonts w:hAnsi="黑体"/>
          <w:b/>
          <w:sz w:val="32"/>
          <w:szCs w:val="32"/>
        </w:rPr>
      </w:pPr>
      <w:r>
        <w:rPr>
          <w:rFonts w:hint="eastAsia" w:hAnsi="黑体"/>
          <w:b/>
          <w:sz w:val="32"/>
          <w:szCs w:val="32"/>
        </w:rPr>
        <w:t>五、一般公共预算财政拨款支出决算情况说明</w:t>
      </w:r>
    </w:p>
    <w:p>
      <w:pPr>
        <w:pStyle w:val="10"/>
        <w:ind w:firstLine="643"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2021年度财政拨款支出393.18万元，占本年支出合计的36.35%，与上年相比，财政拨款支出增加51.33万元，增长15.02%，主要是因为全年新增人员经费支出的增加。</w:t>
      </w:r>
    </w:p>
    <w:p>
      <w:pPr>
        <w:pStyle w:val="10"/>
        <w:ind w:firstLine="482"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2021年度财政拨款支出393.18万元，主要用于以下方面：科学技术支出223万元，占56.72%；社会保障和就业支出105万元，占26.71%;住房保障支出65.18万元，占16.5</w:t>
      </w:r>
      <w:r>
        <w:rPr>
          <w:rFonts w:asciiTheme="minorEastAsia" w:hAnsiTheme="minorEastAsia" w:eastAsiaTheme="minorEastAsia"/>
          <w:sz w:val="32"/>
          <w:szCs w:val="32"/>
        </w:rPr>
        <w:t>8</w:t>
      </w:r>
      <w:r>
        <w:rPr>
          <w:rFonts w:hint="eastAsia" w:asciiTheme="minorEastAsia" w:hAnsiTheme="minorEastAsia" w:eastAsiaTheme="minorEastAsia"/>
          <w:sz w:val="32"/>
          <w:szCs w:val="32"/>
        </w:rPr>
        <w:t>%。</w:t>
      </w:r>
    </w:p>
    <w:p>
      <w:pPr>
        <w:pStyle w:val="10"/>
        <w:ind w:firstLine="643"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2021年度财政拨款支出年初预算数为393.18万元，支出决算数为393.18万元，完成年初预算的100%，其中：</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1、科学技术支出</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年初预算为223万元，支出决算为223万元，完成年初预算的100%。</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2、社会保障和就业支出</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年初预算为105万元，支出决算为105万元，完成年初预算的100%。</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3、住房保障支出</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年初预算为65.18万元，支出决算为65.18万元，完成年初预算的100%。</w:t>
      </w:r>
    </w:p>
    <w:p>
      <w:pPr>
        <w:pStyle w:val="10"/>
        <w:rPr>
          <w:rFonts w:hAnsi="黑体"/>
          <w:b/>
          <w:sz w:val="32"/>
          <w:szCs w:val="32"/>
        </w:rPr>
      </w:pPr>
      <w:r>
        <w:rPr>
          <w:rFonts w:hint="eastAsia" w:hAnsi="黑体"/>
          <w:b/>
          <w:sz w:val="32"/>
          <w:szCs w:val="32"/>
        </w:rPr>
        <w:t>六、一般公共预算财政拨款基本支出决算情况说明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2021年度财政拨款基本支出393.18万元，其中：人员经费393.18万元，占基本支出的100%,主要包括基本工资、机关事业单位基本养老保险缴费、职业年金缴费、住房公积金等。</w:t>
      </w:r>
    </w:p>
    <w:p>
      <w:pPr>
        <w:pStyle w:val="10"/>
        <w:rPr>
          <w:rFonts w:hAnsi="黑体"/>
          <w:b/>
          <w:sz w:val="32"/>
          <w:szCs w:val="32"/>
        </w:rPr>
      </w:pPr>
      <w:r>
        <w:rPr>
          <w:rFonts w:hint="eastAsia" w:hAnsi="黑体"/>
          <w:b/>
          <w:sz w:val="32"/>
          <w:szCs w:val="32"/>
        </w:rPr>
        <w:t>七、一般公共预算财政拨款“三公”经费支出决算情况说明</w:t>
      </w:r>
    </w:p>
    <w:p>
      <w:pPr>
        <w:pStyle w:val="10"/>
        <w:ind w:firstLine="643"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本单位2021年度“三公”经费财政拨款支出</w:t>
      </w:r>
      <w:r>
        <w:rPr>
          <w:rFonts w:hint="eastAsia" w:asciiTheme="minorEastAsia" w:hAnsiTheme="minorEastAsia" w:eastAsiaTheme="minorEastAsia"/>
          <w:sz w:val="32"/>
          <w:szCs w:val="32"/>
          <w:lang w:eastAsia="zh-CN"/>
        </w:rPr>
        <w:t>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“三公”经费预算支出为0，决算支出为0。因公出国（境）团组数及人数为0。公务用车购置数及保有量均为0。国内公务接待的批次、人数均为0。</w:t>
      </w:r>
    </w:p>
    <w:p>
      <w:pPr>
        <w:pStyle w:val="10"/>
        <w:rPr>
          <w:rFonts w:hAnsi="黑体"/>
          <w:b/>
          <w:sz w:val="32"/>
          <w:szCs w:val="32"/>
        </w:rPr>
      </w:pPr>
      <w:r>
        <w:rPr>
          <w:rFonts w:hint="eastAsia" w:hAnsi="黑体"/>
          <w:b/>
          <w:sz w:val="32"/>
          <w:szCs w:val="32"/>
        </w:rPr>
        <w:t>八、政府性基金预算收入支出决算情况</w:t>
      </w:r>
    </w:p>
    <w:p>
      <w:pPr>
        <w:pStyle w:val="10"/>
        <w:ind w:firstLine="640" w:firstLineChars="200"/>
        <w:rPr>
          <w:rFonts w:hAnsi="黑体"/>
          <w:b/>
          <w:sz w:val="32"/>
          <w:szCs w:val="32"/>
        </w:rPr>
      </w:pPr>
      <w:r>
        <w:rPr>
          <w:rFonts w:hint="eastAsia" w:asciiTheme="minorEastAsia" w:hAnsiTheme="minorEastAsia" w:eastAsiaTheme="minorEastAsia"/>
          <w:sz w:val="32"/>
          <w:szCs w:val="32"/>
        </w:rPr>
        <w:t>本单位2021年度无政府性基金预算财政拨款收入。</w:t>
      </w:r>
    </w:p>
    <w:p>
      <w:pPr>
        <w:pStyle w:val="10"/>
        <w:rPr>
          <w:rFonts w:hAnsi="黑体"/>
          <w:b/>
          <w:sz w:val="32"/>
          <w:szCs w:val="32"/>
        </w:rPr>
      </w:pPr>
      <w:r>
        <w:rPr>
          <w:rFonts w:hint="eastAsia" w:hAnsi="黑体"/>
          <w:b/>
          <w:sz w:val="32"/>
          <w:szCs w:val="32"/>
        </w:rPr>
        <w:t>九、机关运行经费支出说明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本单位2021年度无机关运行经费支出。</w:t>
      </w:r>
    </w:p>
    <w:p>
      <w:pPr>
        <w:pStyle w:val="10"/>
        <w:rPr>
          <w:rFonts w:hAnsi="黑体"/>
          <w:b/>
          <w:sz w:val="32"/>
          <w:szCs w:val="32"/>
        </w:rPr>
      </w:pPr>
      <w:r>
        <w:rPr>
          <w:rFonts w:hint="eastAsia" w:hAnsi="黑体"/>
          <w:b/>
          <w:sz w:val="32"/>
          <w:szCs w:val="32"/>
        </w:rPr>
        <w:t>十、一般性支出情况说明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2021年本单位无会议费、培训费、节庆费、晚会费、论坛费、赛事费等支出。</w:t>
      </w:r>
    </w:p>
    <w:p>
      <w:pPr>
        <w:pStyle w:val="10"/>
        <w:rPr>
          <w:rFonts w:hAnsi="黑体"/>
          <w:b/>
          <w:sz w:val="32"/>
          <w:szCs w:val="32"/>
        </w:rPr>
      </w:pPr>
      <w:r>
        <w:rPr>
          <w:rFonts w:hint="eastAsia" w:hAnsi="黑体"/>
          <w:b/>
          <w:sz w:val="32"/>
          <w:szCs w:val="32"/>
        </w:rPr>
        <w:t>十一、政府采购支出说明</w:t>
      </w:r>
    </w:p>
    <w:p>
      <w:pPr>
        <w:pStyle w:val="10"/>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本单位2021年度政府采购支出</w:t>
      </w:r>
      <w:r>
        <w:rPr>
          <w:rFonts w:hint="eastAsia" w:asciiTheme="minorEastAsia" w:hAnsiTheme="minorEastAsia" w:eastAsiaTheme="minorEastAsia"/>
          <w:sz w:val="32"/>
          <w:szCs w:val="32"/>
          <w:lang w:eastAsia="zh-CN"/>
        </w:rPr>
        <w:t>为</w:t>
      </w:r>
      <w:r>
        <w:rPr>
          <w:rFonts w:hint="eastAsia" w:asciiTheme="minorEastAsia" w:hAnsiTheme="minorEastAsia" w:eastAsiaTheme="minorEastAsia"/>
          <w:sz w:val="32"/>
          <w:szCs w:val="32"/>
          <w:lang w:val="en-US" w:eastAsia="zh-CN"/>
        </w:rPr>
        <w:t>0；其中货物、工程、服务的金额为0，占政府采购支出总额的比例为0；授予中小企业、小微企业合同金额为0，占政府采购支出总额的比例为0。</w:t>
      </w:r>
    </w:p>
    <w:p>
      <w:pPr>
        <w:pStyle w:val="10"/>
        <w:ind w:firstLine="640" w:firstLineChars="200"/>
        <w:rPr>
          <w:rFonts w:asciiTheme="minorEastAsia" w:hAnsiTheme="minorEastAsia" w:eastAsiaTheme="minorEastAsia"/>
          <w:sz w:val="32"/>
          <w:szCs w:val="32"/>
        </w:rPr>
      </w:pPr>
    </w:p>
    <w:p>
      <w:pPr>
        <w:pStyle w:val="10"/>
        <w:rPr>
          <w:rFonts w:hAnsi="黑体"/>
          <w:b/>
          <w:sz w:val="32"/>
          <w:szCs w:val="32"/>
        </w:rPr>
      </w:pPr>
      <w:r>
        <w:rPr>
          <w:rFonts w:hint="eastAsia" w:hAnsi="黑体"/>
          <w:b/>
          <w:sz w:val="32"/>
          <w:szCs w:val="32"/>
        </w:rPr>
        <w:t>十二、国有资产占用情况说明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截至2021年12月31日，本单位无公用车辆及相关支出；单位价值50万元以上通用设备</w:t>
      </w:r>
      <w:r>
        <w:rPr>
          <w:rFonts w:asciiTheme="minorEastAsia" w:hAnsiTheme="minorEastAsia" w:eastAsiaTheme="minorEastAsia"/>
          <w:sz w:val="32"/>
          <w:szCs w:val="32"/>
        </w:rPr>
        <w:t>1</w:t>
      </w:r>
      <w:r>
        <w:rPr>
          <w:rFonts w:hint="eastAsia" w:asciiTheme="minorEastAsia" w:hAnsiTheme="minorEastAsia" w:eastAsiaTheme="minorEastAsia"/>
          <w:sz w:val="32"/>
          <w:szCs w:val="32"/>
        </w:rPr>
        <w:t>台（套）；单位价值100万元以上专用设备0台（套）。</w:t>
      </w:r>
    </w:p>
    <w:p>
      <w:pPr>
        <w:pStyle w:val="10"/>
        <w:rPr>
          <w:rFonts w:hAnsi="黑体"/>
          <w:b/>
          <w:sz w:val="32"/>
          <w:szCs w:val="32"/>
        </w:rPr>
      </w:pPr>
      <w:r>
        <w:rPr>
          <w:rFonts w:hint="eastAsia" w:hAnsi="黑体"/>
          <w:b/>
          <w:sz w:val="32"/>
          <w:szCs w:val="32"/>
        </w:rPr>
        <w:t>十三、2021年度预算绩效情况说明</w:t>
      </w:r>
    </w:p>
    <w:p>
      <w:pPr>
        <w:autoSpaceDE w:val="0"/>
        <w:autoSpaceDN w:val="0"/>
        <w:adjustRightInd w:val="0"/>
        <w:ind w:firstLine="643" w:firstLineChars="200"/>
        <w:jc w:val="left"/>
        <w:rPr>
          <w:rFonts w:cs="黑体" w:asciiTheme="minorEastAsia" w:hAnsiTheme="minorEastAsia"/>
          <w:color w:val="000000"/>
          <w:kern w:val="0"/>
          <w:sz w:val="32"/>
          <w:szCs w:val="32"/>
        </w:rPr>
      </w:pPr>
      <w:r>
        <w:rPr>
          <w:rFonts w:hint="eastAsia" w:asciiTheme="minorEastAsia" w:hAnsiTheme="minorEastAsia"/>
          <w:b/>
          <w:sz w:val="32"/>
          <w:szCs w:val="32"/>
        </w:rPr>
        <w:t>（一）</w:t>
      </w:r>
      <w:r>
        <w:rPr>
          <w:rFonts w:hint="eastAsia" w:cs="黑体" w:asciiTheme="minorEastAsia" w:hAnsiTheme="minorEastAsia"/>
          <w:b/>
          <w:color w:val="000000"/>
          <w:kern w:val="0"/>
          <w:sz w:val="32"/>
          <w:szCs w:val="32"/>
        </w:rPr>
        <w:t>绩效管理评价工作开展情况</w:t>
      </w:r>
      <w:r>
        <w:rPr>
          <w:rFonts w:hint="eastAsia" w:cs="黑体" w:asciiTheme="minorEastAsia" w:hAnsiTheme="minorEastAsia"/>
          <w:color w:val="000000"/>
          <w:kern w:val="0"/>
          <w:sz w:val="32"/>
          <w:szCs w:val="32"/>
        </w:rPr>
        <w:t>。</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根据预算绩效管理要求，我单位组织开展了2</w:t>
      </w:r>
      <w:r>
        <w:rPr>
          <w:rFonts w:cs="黑体" w:asciiTheme="minorEastAsia" w:hAnsiTheme="minorEastAsia"/>
          <w:color w:val="000000"/>
          <w:kern w:val="0"/>
          <w:sz w:val="32"/>
          <w:szCs w:val="32"/>
        </w:rPr>
        <w:t>021年度</w:t>
      </w:r>
      <w:r>
        <w:rPr>
          <w:rFonts w:hint="eastAsia" w:cs="黑体" w:asciiTheme="minorEastAsia" w:hAnsiTheme="minorEastAsia"/>
          <w:color w:val="000000"/>
          <w:kern w:val="0"/>
          <w:sz w:val="32"/>
          <w:szCs w:val="32"/>
        </w:rPr>
        <w:t>整体支出绩效自评工作。</w:t>
      </w:r>
    </w:p>
    <w:p>
      <w:pPr>
        <w:autoSpaceDE w:val="0"/>
        <w:autoSpaceDN w:val="0"/>
        <w:adjustRightInd w:val="0"/>
        <w:ind w:firstLine="643" w:firstLineChars="200"/>
        <w:jc w:val="left"/>
        <w:rPr>
          <w:rFonts w:cs="黑体" w:asciiTheme="minorEastAsia" w:hAnsiTheme="minorEastAsia"/>
          <w:color w:val="000000"/>
          <w:kern w:val="0"/>
          <w:sz w:val="32"/>
          <w:szCs w:val="32"/>
        </w:rPr>
      </w:pPr>
      <w:r>
        <w:rPr>
          <w:rFonts w:cs="黑体" w:asciiTheme="minorEastAsia" w:hAnsiTheme="minorEastAsia"/>
          <w:b/>
          <w:color w:val="000000"/>
          <w:kern w:val="0"/>
          <w:sz w:val="32"/>
          <w:szCs w:val="32"/>
        </w:rPr>
        <w:t>1</w:t>
      </w:r>
      <w:r>
        <w:rPr>
          <w:rFonts w:hint="eastAsia" w:cs="黑体" w:asciiTheme="minorEastAsia" w:hAnsiTheme="minorEastAsia"/>
          <w:color w:val="000000"/>
          <w:kern w:val="0"/>
          <w:sz w:val="32"/>
          <w:szCs w:val="32"/>
        </w:rPr>
        <w:t>、一般公共预算支出情况</w:t>
      </w:r>
    </w:p>
    <w:p>
      <w:pPr>
        <w:autoSpaceDE w:val="0"/>
        <w:autoSpaceDN w:val="0"/>
        <w:adjustRightInd w:val="0"/>
        <w:ind w:firstLine="643"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（1）</w:t>
      </w:r>
      <w:r>
        <w:rPr>
          <w:rFonts w:hint="eastAsia" w:cs="黑体" w:asciiTheme="minorEastAsia" w:hAnsiTheme="minorEastAsia"/>
          <w:color w:val="000000"/>
          <w:kern w:val="0"/>
          <w:sz w:val="32"/>
          <w:szCs w:val="32"/>
        </w:rPr>
        <w:tab/>
      </w:r>
      <w:r>
        <w:rPr>
          <w:rFonts w:hint="eastAsia" w:cs="黑体" w:asciiTheme="minorEastAsia" w:hAnsiTheme="minorEastAsia"/>
          <w:color w:val="000000"/>
          <w:kern w:val="0"/>
          <w:sz w:val="32"/>
          <w:szCs w:val="32"/>
        </w:rPr>
        <w:t>基本支出情况</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本单位2021年决算基本支出1067.13万元，其中：人员经费支出1055.26万元，公用经费支出11.87万元。</w:t>
      </w:r>
    </w:p>
    <w:p>
      <w:pPr>
        <w:autoSpaceDE w:val="0"/>
        <w:autoSpaceDN w:val="0"/>
        <w:adjustRightInd w:val="0"/>
        <w:ind w:firstLine="643"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w:t>
      </w:r>
      <w:r>
        <w:rPr>
          <w:rFonts w:cs="黑体" w:asciiTheme="minorEastAsia" w:hAnsiTheme="minorEastAsia"/>
          <w:b/>
          <w:color w:val="000000"/>
          <w:kern w:val="0"/>
          <w:sz w:val="32"/>
          <w:szCs w:val="32"/>
        </w:rPr>
        <w:t>2</w:t>
      </w:r>
      <w:r>
        <w:rPr>
          <w:rFonts w:hint="eastAsia" w:cs="黑体" w:asciiTheme="minorEastAsia" w:hAnsiTheme="minorEastAsia"/>
          <w:b/>
          <w:color w:val="000000"/>
          <w:kern w:val="0"/>
          <w:sz w:val="32"/>
          <w:szCs w:val="32"/>
        </w:rPr>
        <w:t>）</w:t>
      </w:r>
      <w:r>
        <w:rPr>
          <w:rFonts w:hint="eastAsia" w:cs="黑体" w:asciiTheme="minorEastAsia" w:hAnsiTheme="minorEastAsia"/>
          <w:color w:val="000000"/>
          <w:kern w:val="0"/>
          <w:sz w:val="32"/>
          <w:szCs w:val="32"/>
        </w:rPr>
        <w:tab/>
      </w:r>
      <w:r>
        <w:rPr>
          <w:rFonts w:hint="eastAsia" w:cs="黑体" w:asciiTheme="minorEastAsia" w:hAnsiTheme="minorEastAsia"/>
          <w:color w:val="000000"/>
          <w:kern w:val="0"/>
          <w:sz w:val="32"/>
          <w:szCs w:val="32"/>
        </w:rPr>
        <w:t>项目支出情况</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由于本单位承担的纵向科研项目全部纳入举办单位湖南师范大学统一管理，项目经费也纳入湖南师大财务系统管理；只有少数来自企业的横向课题项目由本单位财务管理，如水稻育性研究、生命科学研究等；全年横向项目支出共14.56万元。</w:t>
      </w:r>
    </w:p>
    <w:p>
      <w:pPr>
        <w:autoSpaceDE w:val="0"/>
        <w:autoSpaceDN w:val="0"/>
        <w:adjustRightInd w:val="0"/>
        <w:ind w:firstLine="643" w:firstLineChars="200"/>
        <w:jc w:val="left"/>
        <w:rPr>
          <w:rFonts w:cs="黑体" w:asciiTheme="minorEastAsia" w:hAnsiTheme="minorEastAsia"/>
          <w:color w:val="000000"/>
          <w:kern w:val="0"/>
          <w:sz w:val="32"/>
          <w:szCs w:val="32"/>
        </w:rPr>
      </w:pPr>
      <w:r>
        <w:rPr>
          <w:rFonts w:cs="黑体" w:asciiTheme="minorEastAsia" w:hAnsiTheme="minorEastAsia"/>
          <w:b/>
          <w:color w:val="000000"/>
          <w:kern w:val="0"/>
          <w:sz w:val="32"/>
          <w:szCs w:val="32"/>
        </w:rPr>
        <w:t>2</w:t>
      </w:r>
      <w:r>
        <w:rPr>
          <w:rFonts w:hint="eastAsia" w:cs="黑体" w:asciiTheme="minorEastAsia" w:hAnsiTheme="minorEastAsia"/>
          <w:color w:val="000000"/>
          <w:kern w:val="0"/>
          <w:sz w:val="32"/>
          <w:szCs w:val="32"/>
        </w:rPr>
        <w:t>、本单位无政府性基金预算支出情况</w:t>
      </w:r>
    </w:p>
    <w:p>
      <w:pPr>
        <w:autoSpaceDE w:val="0"/>
        <w:autoSpaceDN w:val="0"/>
        <w:adjustRightInd w:val="0"/>
        <w:ind w:firstLine="643"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3</w:t>
      </w:r>
      <w:r>
        <w:rPr>
          <w:rFonts w:hint="eastAsia" w:cs="黑体" w:asciiTheme="minorEastAsia" w:hAnsiTheme="minorEastAsia"/>
          <w:color w:val="000000"/>
          <w:kern w:val="0"/>
          <w:sz w:val="32"/>
          <w:szCs w:val="32"/>
        </w:rPr>
        <w:t>、本单位无国有资本经营预算支出情况</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本单位为实现湖南省科技厅2021年度整体绩效目标的完成从加强科技平台建设、加强人才队伍建设、积极开展科研创新工作、强化管理和服务夯实管理工作基础等四个方面来开展工作，较好地完成了年度工作目标。本单位将把自评结果作为下一年度预算安排和编制的依据，有力提高预算制定的科学性和有效性。</w:t>
      </w:r>
    </w:p>
    <w:p>
      <w:pPr>
        <w:autoSpaceDE w:val="0"/>
        <w:autoSpaceDN w:val="0"/>
        <w:adjustRightInd w:val="0"/>
        <w:ind w:firstLine="640" w:firstLineChars="200"/>
        <w:jc w:val="left"/>
        <w:rPr>
          <w:rFonts w:cs="黑体" w:asciiTheme="minorEastAsia" w:hAnsiTheme="minorEastAsia"/>
          <w:color w:val="000000"/>
          <w:kern w:val="0"/>
          <w:sz w:val="32"/>
          <w:szCs w:val="3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shd w:val="clear" w:color="auto" w:fill="FFFFFF"/>
        <w:spacing w:line="57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一、财政拨款收入指财政当年拨付的资金。</w:t>
      </w:r>
    </w:p>
    <w:p>
      <w:pPr>
        <w:shd w:val="clear" w:color="auto" w:fill="FFFFFF"/>
        <w:spacing w:line="57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二、事业收入指事业单位开展专业业务活动及辅助活动所取得的收入。</w:t>
      </w:r>
    </w:p>
    <w:p>
      <w:pPr>
        <w:shd w:val="clear" w:color="auto" w:fill="FFFFFF"/>
        <w:spacing w:line="57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三、经营收入指事业单位在专业业务活动及其辅助活动之外开展非独立核算经营活动取得的收入。</w:t>
      </w:r>
    </w:p>
    <w:p>
      <w:pPr>
        <w:shd w:val="clear" w:color="auto" w:fill="FFFFFF"/>
        <w:spacing w:line="57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四、其他收入指除上述“财政拨款收入”，“事业收入”、“经营收入”等以外的收入。主要是利息收入等。</w:t>
      </w:r>
    </w:p>
    <w:p>
      <w:pPr>
        <w:shd w:val="clear" w:color="auto" w:fill="FFFFFF"/>
        <w:spacing w:line="57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shd w:val="clear" w:color="auto" w:fill="FFFFFF"/>
        <w:spacing w:line="57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六、年初结转和结余指以前年度尚未完成、结转到本年按有关规定继续使用的资金。</w:t>
      </w:r>
    </w:p>
    <w:p>
      <w:pPr>
        <w:shd w:val="clear" w:color="auto" w:fill="FFFFFF"/>
        <w:spacing w:line="57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七、结余分配指事业单位按规定提取的职工福利基金、事业基金和缴纳的所得税。</w:t>
      </w:r>
    </w:p>
    <w:p>
      <w:pPr>
        <w:shd w:val="clear" w:color="auto" w:fill="FFFFFF"/>
        <w:spacing w:line="57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八、年末结转和结余指本年度或以前年度预算安排、因客观条件发生变化无法按原计划实施，需延迟到以后年度按有关规定继续使用的资金。</w:t>
      </w:r>
    </w:p>
    <w:p>
      <w:pPr>
        <w:shd w:val="clear" w:color="auto" w:fill="FFFFFF"/>
        <w:spacing w:line="57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九、基本支出指为保障机构正常运转、完成日常工作任务而发生的人员支出和公用支出。</w:t>
      </w:r>
    </w:p>
    <w:p>
      <w:pPr>
        <w:shd w:val="clear" w:color="auto" w:fill="FFFFFF"/>
        <w:spacing w:line="57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十、项目支出指在基本支出之外为完成特定行政任务和事业发展目标所发生的支出。</w:t>
      </w:r>
    </w:p>
    <w:p>
      <w:pPr>
        <w:shd w:val="clear" w:color="auto" w:fill="FFFFFF"/>
        <w:spacing w:line="57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十一、经营支出指事业单位在专业业务活动及其辅助活动之外开展非独立核算经营活动发生的支出。</w:t>
      </w:r>
    </w:p>
    <w:p>
      <w:pPr>
        <w:shd w:val="clear" w:color="auto" w:fill="FFFFFF"/>
        <w:spacing w:line="57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十二、“三公”经费：纳入财政预决算管理的“三公”经费，是指用财政拨款安排的因公出国(境)费、公务用车购置及运行费和公务接待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shd w:val="clear" w:color="auto" w:fill="FFFFFF"/>
        <w:spacing w:line="570" w:lineRule="exact"/>
        <w:ind w:firstLine="641"/>
        <w:rPr>
          <w:rFonts w:cs="仿宋_GB2312" w:asciiTheme="minorEastAsia" w:hAnsiTheme="minorEastAsia"/>
          <w:color w:val="000000"/>
          <w:kern w:val="0"/>
          <w:sz w:val="32"/>
          <w:szCs w:val="32"/>
        </w:rPr>
      </w:pPr>
      <w:r>
        <w:rPr>
          <w:rFonts w:hint="eastAsia" w:cs="仿宋_GB2312" w:asciiTheme="minorEastAsia" w:hAnsiTheme="minorEastAsia"/>
          <w:color w:val="000000"/>
          <w:kern w:val="0"/>
          <w:sz w:val="32"/>
          <w:szCs w:val="32"/>
        </w:rPr>
        <w:t>十三、机关运行经费为保障行政单位(含参照公务员法管理的事业单位)运行用于购买货物和服务的各项资金，包括办公及印刷费、邮电费、差旅费、会议费、福利费、劳务费、日常维修费、专用材料及一般设备购置费、办公用房水电费、办公用房取暖费、办公用房物业管理费、公务用车运行维护费以及其他费用。</w:t>
      </w:r>
    </w:p>
    <w:p>
      <w:pPr>
        <w:pStyle w:val="10"/>
        <w:spacing w:line="570" w:lineRule="exact"/>
        <w:ind w:firstLine="1440"/>
        <w:jc w:val="center"/>
        <w:rPr>
          <w:rFonts w:asciiTheme="minorEastAsia" w:hAnsiTheme="minorEastAsia" w:eastAsiaTheme="minorEastAsia"/>
          <w:sz w:val="72"/>
          <w:szCs w:val="72"/>
        </w:rPr>
      </w:pPr>
    </w:p>
    <w:p>
      <w:pPr>
        <w:pStyle w:val="10"/>
        <w:ind w:firstLine="1440"/>
        <w:jc w:val="center"/>
        <w:rPr>
          <w:rFonts w:asciiTheme="minorEastAsia" w:hAnsiTheme="minorEastAsia" w:eastAsiaTheme="minorEastAsia"/>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widowControl/>
        <w:jc w:val="left"/>
        <w:rPr>
          <w:rFonts w:ascii="黑体" w:eastAsia="黑体" w:cs="黑体"/>
          <w:color w:val="000000"/>
          <w:kern w:val="0"/>
          <w:sz w:val="70"/>
          <w:szCs w:val="70"/>
        </w:rPr>
      </w:pPr>
    </w:p>
    <w:p>
      <w:pPr>
        <w:widowControl/>
        <w:jc w:val="left"/>
        <w:rPr>
          <w:rFonts w:ascii="黑体" w:eastAsia="黑体" w:cs="黑体"/>
          <w:color w:val="000000"/>
          <w:kern w:val="0"/>
          <w:sz w:val="28"/>
          <w:szCs w:val="28"/>
        </w:rPr>
      </w:pPr>
    </w:p>
    <w:p>
      <w:pPr>
        <w:jc w:val="center"/>
        <w:rPr>
          <w:rFonts w:ascii="黑体" w:eastAsia="黑体" w:cs="黑体"/>
          <w:color w:val="000000"/>
          <w:kern w:val="0"/>
          <w:sz w:val="70"/>
          <w:szCs w:val="70"/>
        </w:rPr>
      </w:pPr>
    </w:p>
    <w:p>
      <w:pPr>
        <w:jc w:val="center"/>
        <w:rPr>
          <w:rFonts w:cs="黑体" w:asciiTheme="minorEastAsia" w:hAnsiTheme="minorEastAsia"/>
          <w:b/>
          <w:color w:val="000000"/>
          <w:kern w:val="0"/>
          <w:sz w:val="24"/>
          <w:szCs w:val="24"/>
        </w:rPr>
      </w:pPr>
      <w:r>
        <w:rPr>
          <w:rFonts w:hint="eastAsia" w:cs="黑体" w:asciiTheme="minorEastAsia" w:hAnsiTheme="minorEastAsia"/>
          <w:b/>
          <w:color w:val="000000"/>
          <w:kern w:val="0"/>
          <w:sz w:val="48"/>
          <w:szCs w:val="48"/>
        </w:rPr>
        <w:t>2021年度部门整体支出绩效评价报告</w:t>
      </w:r>
    </w:p>
    <w:p>
      <w:pPr>
        <w:jc w:val="center"/>
        <w:rPr>
          <w:rFonts w:cs="黑体" w:asciiTheme="minorEastAsia" w:hAnsiTheme="minorEastAsia"/>
          <w:b/>
          <w:color w:val="000000"/>
          <w:kern w:val="0"/>
          <w:sz w:val="24"/>
          <w:szCs w:val="24"/>
        </w:rPr>
      </w:pPr>
    </w:p>
    <w:p>
      <w:pPr>
        <w:jc w:val="center"/>
        <w:rPr>
          <w:rFonts w:cs="黑体" w:asciiTheme="minorEastAsia" w:hAnsiTheme="minorEastAsia"/>
          <w:b/>
          <w:color w:val="000000"/>
          <w:kern w:val="0"/>
          <w:sz w:val="24"/>
          <w:szCs w:val="24"/>
        </w:rPr>
      </w:pPr>
    </w:p>
    <w:p>
      <w:pPr>
        <w:jc w:val="center"/>
        <w:rPr>
          <w:rFonts w:ascii="黑体" w:hAnsi="黑体" w:eastAsia="黑体"/>
          <w:b/>
          <w:sz w:val="44"/>
          <w:szCs w:val="44"/>
        </w:rPr>
      </w:pPr>
      <w:r>
        <w:rPr>
          <w:rFonts w:hint="eastAsia" w:ascii="黑体" w:hAnsi="黑体" w:eastAsia="黑体"/>
          <w:b/>
          <w:sz w:val="44"/>
          <w:szCs w:val="44"/>
        </w:rPr>
        <w:t>2021</w:t>
      </w:r>
      <w:r>
        <w:rPr>
          <w:rFonts w:ascii="黑体" w:hAnsi="黑体" w:eastAsia="黑体"/>
          <w:b/>
          <w:sz w:val="44"/>
          <w:szCs w:val="44"/>
        </w:rPr>
        <w:t>年度</w:t>
      </w:r>
      <w:r>
        <w:rPr>
          <w:rFonts w:hint="eastAsia" w:ascii="黑体" w:hAnsi="黑体" w:eastAsia="黑体"/>
          <w:b/>
          <w:sz w:val="44"/>
          <w:szCs w:val="44"/>
        </w:rPr>
        <w:t>湖南</w:t>
      </w:r>
      <w:r>
        <w:rPr>
          <w:rFonts w:ascii="黑体" w:hAnsi="黑体" w:eastAsia="黑体"/>
          <w:b/>
          <w:sz w:val="44"/>
          <w:szCs w:val="44"/>
        </w:rPr>
        <w:t>省</w:t>
      </w:r>
      <w:r>
        <w:rPr>
          <w:rFonts w:hint="eastAsia" w:ascii="黑体" w:hAnsi="黑体" w:eastAsia="黑体"/>
          <w:b/>
          <w:sz w:val="44"/>
          <w:szCs w:val="44"/>
        </w:rPr>
        <w:t>生物研究所</w:t>
      </w:r>
    </w:p>
    <w:p>
      <w:pPr>
        <w:jc w:val="center"/>
        <w:rPr>
          <w:rFonts w:ascii="黑体" w:hAnsi="黑体" w:eastAsia="黑体"/>
          <w:b/>
          <w:sz w:val="44"/>
          <w:szCs w:val="44"/>
        </w:rPr>
      </w:pPr>
      <w:r>
        <w:rPr>
          <w:rFonts w:ascii="黑体" w:hAnsi="黑体" w:eastAsia="黑体"/>
          <w:b/>
          <w:sz w:val="44"/>
          <w:szCs w:val="44"/>
        </w:rPr>
        <w:t>整体支出绩效自评报告</w:t>
      </w:r>
    </w:p>
    <w:p>
      <w:pPr>
        <w:jc w:val="center"/>
        <w:rPr>
          <w:rFonts w:ascii="黑体" w:hAnsi="黑体" w:eastAsia="黑体"/>
          <w:b/>
          <w:sz w:val="44"/>
          <w:szCs w:val="44"/>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44"/>
          <w:szCs w:val="44"/>
        </w:rPr>
      </w:pPr>
      <w:r>
        <w:rPr>
          <w:rFonts w:eastAsia="黑体"/>
          <w:sz w:val="44"/>
          <w:szCs w:val="44"/>
        </w:rPr>
        <w:t>单位名称（盖章）</w:t>
      </w:r>
      <w:r>
        <w:rPr>
          <w:rFonts w:hint="eastAsia" w:eastAsia="黑体"/>
          <w:sz w:val="44"/>
          <w:szCs w:val="44"/>
        </w:rPr>
        <w:t>：</w:t>
      </w:r>
      <w:r>
        <w:rPr>
          <w:rFonts w:eastAsia="黑体"/>
          <w:sz w:val="44"/>
          <w:szCs w:val="44"/>
        </w:rPr>
        <w:t>湖南省</w:t>
      </w:r>
      <w:r>
        <w:rPr>
          <w:rFonts w:hint="eastAsia" w:eastAsia="黑体"/>
          <w:sz w:val="44"/>
          <w:szCs w:val="44"/>
        </w:rPr>
        <w:t>生物研究</w:t>
      </w:r>
      <w:r>
        <w:rPr>
          <w:rFonts w:eastAsia="黑体"/>
          <w:sz w:val="44"/>
          <w:szCs w:val="44"/>
        </w:rPr>
        <w:t>所</w:t>
      </w:r>
    </w:p>
    <w:p>
      <w:pPr>
        <w:rPr>
          <w:rFonts w:eastAsia="仿宋_GB2312"/>
          <w:sz w:val="32"/>
          <w:szCs w:val="32"/>
        </w:rPr>
      </w:pPr>
    </w:p>
    <w:p>
      <w:pPr>
        <w:jc w:val="center"/>
        <w:rPr>
          <w:rFonts w:eastAsia="仿宋_GB2312"/>
          <w:sz w:val="32"/>
          <w:szCs w:val="32"/>
        </w:rPr>
        <w:sectPr>
          <w:headerReference r:id="rId3" w:type="default"/>
          <w:footerReference r:id="rId4" w:type="default"/>
          <w:pgSz w:w="11906" w:h="16838"/>
          <w:pgMar w:top="720" w:right="720" w:bottom="720" w:left="720" w:header="0" w:footer="0" w:gutter="0"/>
          <w:pgNumType w:start="1"/>
          <w:cols w:space="720" w:num="1"/>
          <w:docGrid w:type="lines" w:linePitch="312" w:charSpace="0"/>
        </w:sectPr>
      </w:pPr>
    </w:p>
    <w:p>
      <w:pPr>
        <w:widowControl/>
        <w:numPr>
          <w:ilvl w:val="0"/>
          <w:numId w:val="2"/>
        </w:numPr>
        <w:spacing w:line="600" w:lineRule="exact"/>
        <w:rPr>
          <w:rFonts w:asciiTheme="minorEastAsia" w:hAnsiTheme="minorEastAsia"/>
          <w:sz w:val="32"/>
          <w:szCs w:val="32"/>
        </w:rPr>
      </w:pPr>
      <w:r>
        <w:rPr>
          <w:rFonts w:asciiTheme="minorEastAsia" w:hAnsiTheme="minorEastAsia"/>
          <w:sz w:val="32"/>
          <w:szCs w:val="32"/>
        </w:rPr>
        <w:t>单位基本情况</w:t>
      </w:r>
    </w:p>
    <w:p>
      <w:pPr>
        <w:widowControl/>
        <w:numPr>
          <w:ilvl w:val="0"/>
          <w:numId w:val="3"/>
        </w:numPr>
        <w:spacing w:line="600" w:lineRule="exact"/>
        <w:jc w:val="left"/>
        <w:rPr>
          <w:rFonts w:asciiTheme="minorEastAsia" w:hAnsiTheme="minorEastAsia"/>
          <w:sz w:val="32"/>
          <w:szCs w:val="32"/>
        </w:rPr>
      </w:pPr>
      <w:r>
        <w:rPr>
          <w:rFonts w:asciiTheme="minorEastAsia" w:hAnsiTheme="minorEastAsia"/>
          <w:sz w:val="32"/>
          <w:szCs w:val="32"/>
        </w:rPr>
        <w:t>单位基本情况</w:t>
      </w:r>
    </w:p>
    <w:p>
      <w:pPr>
        <w:ind w:firstLine="640" w:firstLineChars="200"/>
        <w:rPr>
          <w:rFonts w:asciiTheme="minorEastAsia" w:hAnsiTheme="minorEastAsia"/>
          <w:sz w:val="32"/>
          <w:szCs w:val="32"/>
        </w:rPr>
      </w:pPr>
      <w:r>
        <w:rPr>
          <w:rFonts w:asciiTheme="minorEastAsia" w:hAnsiTheme="minorEastAsia"/>
          <w:sz w:val="32"/>
          <w:szCs w:val="32"/>
        </w:rPr>
        <w:t>湖南省</w:t>
      </w:r>
      <w:r>
        <w:rPr>
          <w:rFonts w:hint="eastAsia" w:asciiTheme="minorEastAsia" w:hAnsiTheme="minorEastAsia"/>
          <w:sz w:val="32"/>
          <w:szCs w:val="32"/>
        </w:rPr>
        <w:t>生物</w:t>
      </w:r>
      <w:r>
        <w:rPr>
          <w:rFonts w:asciiTheme="minorEastAsia" w:hAnsiTheme="minorEastAsia"/>
          <w:sz w:val="32"/>
          <w:szCs w:val="32"/>
        </w:rPr>
        <w:t>研究所成立于19</w:t>
      </w:r>
      <w:r>
        <w:rPr>
          <w:rFonts w:hint="eastAsia" w:asciiTheme="minorEastAsia" w:hAnsiTheme="minorEastAsia"/>
          <w:sz w:val="32"/>
          <w:szCs w:val="32"/>
        </w:rPr>
        <w:t>85</w:t>
      </w:r>
      <w:r>
        <w:rPr>
          <w:rFonts w:asciiTheme="minorEastAsia" w:hAnsiTheme="minorEastAsia"/>
          <w:sz w:val="32"/>
          <w:szCs w:val="32"/>
        </w:rPr>
        <w:t>年</w:t>
      </w:r>
      <w:r>
        <w:rPr>
          <w:rFonts w:hint="eastAsia" w:asciiTheme="minorEastAsia" w:hAnsiTheme="minorEastAsia"/>
          <w:sz w:val="32"/>
          <w:szCs w:val="32"/>
        </w:rPr>
        <w:t>2</w:t>
      </w:r>
      <w:r>
        <w:rPr>
          <w:rFonts w:asciiTheme="minorEastAsia" w:hAnsiTheme="minorEastAsia"/>
          <w:sz w:val="32"/>
          <w:szCs w:val="32"/>
        </w:rPr>
        <w:t>月，</w:t>
      </w:r>
      <w:r>
        <w:rPr>
          <w:rFonts w:hint="eastAsia" w:asciiTheme="minorEastAsia" w:hAnsiTheme="minorEastAsia"/>
          <w:sz w:val="32"/>
          <w:szCs w:val="32"/>
        </w:rPr>
        <w:t>由湖南师范大学举办</w:t>
      </w:r>
      <w:r>
        <w:rPr>
          <w:rFonts w:asciiTheme="minorEastAsia" w:hAnsiTheme="minorEastAsia"/>
          <w:sz w:val="32"/>
          <w:szCs w:val="32"/>
        </w:rPr>
        <w:t>，是湖南省科学技术厅</w:t>
      </w:r>
      <w:r>
        <w:rPr>
          <w:rFonts w:hint="eastAsia" w:asciiTheme="minorEastAsia" w:hAnsiTheme="minorEastAsia"/>
          <w:sz w:val="32"/>
          <w:szCs w:val="32"/>
        </w:rPr>
        <w:t>差</w:t>
      </w:r>
      <w:r>
        <w:rPr>
          <w:rFonts w:asciiTheme="minorEastAsia" w:hAnsiTheme="minorEastAsia"/>
          <w:sz w:val="32"/>
          <w:szCs w:val="32"/>
        </w:rPr>
        <w:t>额预算公益二类</w:t>
      </w:r>
      <w:r>
        <w:rPr>
          <w:rFonts w:hint="eastAsia" w:asciiTheme="minorEastAsia" w:hAnsiTheme="minorEastAsia"/>
          <w:sz w:val="32"/>
          <w:szCs w:val="32"/>
        </w:rPr>
        <w:t>科研院所</w:t>
      </w:r>
      <w:r>
        <w:rPr>
          <w:rFonts w:asciiTheme="minorEastAsia" w:hAnsiTheme="minorEastAsia"/>
          <w:sz w:val="32"/>
          <w:szCs w:val="32"/>
        </w:rPr>
        <w:t>，</w:t>
      </w:r>
      <w:r>
        <w:rPr>
          <w:rFonts w:hint="eastAsia" w:asciiTheme="minorEastAsia" w:hAnsiTheme="minorEastAsia"/>
          <w:sz w:val="32"/>
          <w:szCs w:val="32"/>
        </w:rPr>
        <w:t>主要开展生物学基础理论研究与应用基础理论研究；生物学应用技术研究与开发、转让；提供分子生物学、蛋白质化学等检测分析服务；开展相关人才培养与学术活动以及科普知识宣传教育。</w:t>
      </w:r>
      <w:r>
        <w:rPr>
          <w:rFonts w:asciiTheme="minorEastAsia" w:hAnsiTheme="minorEastAsia"/>
          <w:sz w:val="32"/>
          <w:szCs w:val="32"/>
        </w:rPr>
        <w:t>201</w:t>
      </w:r>
      <w:r>
        <w:rPr>
          <w:rFonts w:hint="eastAsia" w:asciiTheme="minorEastAsia" w:hAnsiTheme="minorEastAsia"/>
          <w:sz w:val="32"/>
          <w:szCs w:val="32"/>
        </w:rPr>
        <w:t>6</w:t>
      </w:r>
      <w:r>
        <w:rPr>
          <w:rFonts w:asciiTheme="minorEastAsia" w:hAnsiTheme="minorEastAsia"/>
          <w:sz w:val="32"/>
          <w:szCs w:val="32"/>
        </w:rPr>
        <w:t>年1月加挂</w:t>
      </w:r>
      <w:r>
        <w:rPr>
          <w:rFonts w:hint="eastAsia" w:asciiTheme="minorEastAsia" w:hAnsiTheme="minorEastAsia"/>
          <w:sz w:val="32"/>
          <w:szCs w:val="32"/>
        </w:rPr>
        <w:t>“湖南鱼类遗传育种中心”牌子</w:t>
      </w:r>
      <w:r>
        <w:rPr>
          <w:rFonts w:asciiTheme="minorEastAsia" w:hAnsiTheme="minorEastAsia"/>
          <w:sz w:val="32"/>
          <w:szCs w:val="32"/>
        </w:rPr>
        <w:t>。</w:t>
      </w:r>
      <w:r>
        <w:rPr>
          <w:rFonts w:hint="eastAsia" w:asciiTheme="minorEastAsia" w:hAnsiTheme="minorEastAsia"/>
          <w:sz w:val="32"/>
          <w:szCs w:val="32"/>
        </w:rPr>
        <w:t>单位编制60人，现有在编人员46人，包括高级职称人员26人，其中中国工程院院士1人；中级职称人员12人</w:t>
      </w:r>
      <w:r>
        <w:rPr>
          <w:rFonts w:asciiTheme="minorEastAsia" w:hAnsiTheme="minorEastAsia"/>
          <w:sz w:val="32"/>
          <w:szCs w:val="32"/>
        </w:rPr>
        <w:t>。</w:t>
      </w:r>
    </w:p>
    <w:p>
      <w:pPr>
        <w:widowControl/>
        <w:spacing w:line="600" w:lineRule="exact"/>
        <w:ind w:firstLine="640" w:firstLineChars="200"/>
        <w:jc w:val="left"/>
        <w:rPr>
          <w:rFonts w:asciiTheme="minorEastAsia" w:hAnsiTheme="minorEastAsia"/>
          <w:sz w:val="32"/>
          <w:szCs w:val="32"/>
        </w:rPr>
      </w:pPr>
      <w:r>
        <w:rPr>
          <w:rFonts w:asciiTheme="minorEastAsia" w:hAnsiTheme="minorEastAsia"/>
          <w:sz w:val="32"/>
          <w:szCs w:val="32"/>
        </w:rPr>
        <w:t>（二）单位年度整体支出绩效目标</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通过预算执行，保障全所各项工作的正常开展。</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（三）详细阐述本部门（单位）为实现湖南省科学技术厅20</w:t>
      </w:r>
      <w:r>
        <w:rPr>
          <w:rFonts w:asciiTheme="minorEastAsia" w:hAnsiTheme="minorEastAsia"/>
          <w:sz w:val="32"/>
          <w:szCs w:val="32"/>
        </w:rPr>
        <w:t>2</w:t>
      </w:r>
      <w:r>
        <w:rPr>
          <w:rFonts w:hint="eastAsia" w:asciiTheme="minorEastAsia" w:hAnsiTheme="minorEastAsia"/>
          <w:sz w:val="32"/>
          <w:szCs w:val="32"/>
        </w:rPr>
        <w:t>1年度整体绩效目标所完成的具体工作情况。</w:t>
      </w:r>
    </w:p>
    <w:p>
      <w:pPr>
        <w:widowControl/>
        <w:spacing w:line="600" w:lineRule="exact"/>
        <w:ind w:firstLine="640" w:firstLineChars="200"/>
        <w:jc w:val="left"/>
        <w:rPr>
          <w:rFonts w:asciiTheme="minorEastAsia" w:hAnsiTheme="minorEastAsia"/>
          <w:sz w:val="32"/>
          <w:szCs w:val="32"/>
        </w:rPr>
      </w:pP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本</w:t>
      </w:r>
      <w:r>
        <w:rPr>
          <w:rFonts w:asciiTheme="minorEastAsia" w:hAnsiTheme="minorEastAsia"/>
          <w:sz w:val="32"/>
          <w:szCs w:val="32"/>
        </w:rPr>
        <w:t>单位</w:t>
      </w:r>
      <w:r>
        <w:rPr>
          <w:rFonts w:hint="eastAsia" w:asciiTheme="minorEastAsia" w:hAnsiTheme="minorEastAsia"/>
          <w:sz w:val="32"/>
          <w:szCs w:val="32"/>
        </w:rPr>
        <w:t>为</w:t>
      </w:r>
      <w:r>
        <w:rPr>
          <w:rFonts w:asciiTheme="minorEastAsia" w:hAnsiTheme="minorEastAsia"/>
          <w:sz w:val="32"/>
          <w:szCs w:val="32"/>
        </w:rPr>
        <w:t>实现湖南省科技厅</w:t>
      </w:r>
      <w:r>
        <w:rPr>
          <w:rFonts w:hint="eastAsia" w:asciiTheme="minorEastAsia" w:hAnsiTheme="minorEastAsia"/>
          <w:sz w:val="32"/>
          <w:szCs w:val="32"/>
        </w:rPr>
        <w:t>2021年</w:t>
      </w:r>
      <w:r>
        <w:rPr>
          <w:rFonts w:asciiTheme="minorEastAsia" w:hAnsiTheme="minorEastAsia"/>
          <w:sz w:val="32"/>
          <w:szCs w:val="32"/>
        </w:rPr>
        <w:t>度整体绩效目标所完成的具体工作情况：</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1、加强科技平台建设</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目前我所与湖南师范大学生命科学学院共同建设有省部共建国家重点实验室、国家地方联合工程实验室、湖南省重点实验室等各级各类实验室， 2021年，院所继续在人、财、物等方面对重点实验室建设进行倾斜，这些举措进一步改善了我所科研实验室的工作条件，为提高科研工作的效率和质量奠定了必要的物质基础，对我所聚集高水平科研人才，提高科研创新能力，产出高水平科研成果，实现科研可持续发展发挥了重要作用。</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2、加强人才队伍建设</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2021年我所继续加强高层次人才聚集和优秀后备人才培养。我所继2019年刘少军教授入选中国工程院院士后，2021年覃钦博教授入选“国家高层次人才计划”科技创新领军人才和“长江学者”青年学者、湖南省科技创新领军人才，高端人才队伍建设实现了新突破。任力、吴葩、周熙等3位青年博士入选2021年度“湖湘青年英才”支持计划。2021年我所还新引进了5名博士，目前全所共有在编人员46人，其中高级职称人员26人，具有博士学位人员32人，科研人员的学科专业、年龄、学历结构进一步优化。</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3、积极开展科研创新工作</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2021年，我所充分发挥与湖南师范大学生命科学学院院所合一的体制优势，利用国家及省部级科研创新平台的资源优势，开展高水平的科研创新工作，促进国家及地方经济与社会发展。2021年全所科研人员积极申报科研项目，共获批30余项各级各类项目，其中新增国家自然科学基金项目2项、湖南省杰出青年基金项目1项、其他省科技计划项目、省自然科学基金项目、省教育厅项目、其他厅局级项目20余项。</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4、强化管理和服务，夯实管理工作基础</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严格按照《湖南省生物研究所内部控制手册》对全所的人、财、物进行规范管理。严格执行《会计法》和《事业单位会计制度》，按照相关规定建立会计账册，进行会计核算，及时提供合法、真实、准确、完整的会计信息。及时准确编制部门预算，严格执行厅财务预算和内部（成本）核算。加强资产管理，规范设备采购、入库、领用、维护保养以及报废程序，设备和办公用品采购和领用更规范，做到有计划、有申请、有审批、有验收、有入库、有领用，半年盘点一次。确保了全所的固定资产管理标准化，规范化和透明化。全年未发生财务违规问题和重大事故。全所行政管理运行有序。</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所办公室和财务室增强服务意识，努力为全所科研人员营造和谐高效的工作氛围。通过主动跟进各科研团队的研究进展，搜集有关科研信息并及时提供给相关科研人员，增强科研管理工作的时效性和针对性；通过宣讲各项科研管理制度和财务管理制度，使科研人员熟知相关的政策规定；通过强化科研的过程管理，主动及时地发布各类课题申报信息，并有针对性地发动相关人员申报各级各类项目，保证了全所在各类项目申报中都保持较高的申报率；督促做好各类科研项目的结题工作，保证按要求完成项目结题，提高了管理工作效率。</w:t>
      </w:r>
    </w:p>
    <w:p>
      <w:pPr>
        <w:widowControl/>
        <w:spacing w:line="600" w:lineRule="exact"/>
        <w:ind w:firstLine="640" w:firstLineChars="200"/>
        <w:rPr>
          <w:rFonts w:asciiTheme="minorEastAsia" w:hAnsiTheme="minorEastAsia"/>
          <w:sz w:val="32"/>
          <w:szCs w:val="32"/>
        </w:rPr>
      </w:pPr>
      <w:r>
        <w:rPr>
          <w:rFonts w:hint="eastAsia" w:asciiTheme="minorEastAsia" w:hAnsiTheme="minorEastAsia"/>
          <w:sz w:val="32"/>
          <w:szCs w:val="32"/>
        </w:rPr>
        <w:t>二、</w:t>
      </w:r>
      <w:r>
        <w:rPr>
          <w:rFonts w:asciiTheme="minorEastAsia" w:hAnsiTheme="minorEastAsia"/>
          <w:sz w:val="32"/>
          <w:szCs w:val="32"/>
        </w:rPr>
        <w:t>一般公共预算支出情况</w:t>
      </w:r>
    </w:p>
    <w:p>
      <w:pPr>
        <w:widowControl/>
        <w:numPr>
          <w:ilvl w:val="0"/>
          <w:numId w:val="4"/>
        </w:numPr>
        <w:spacing w:line="600" w:lineRule="exact"/>
        <w:jc w:val="left"/>
        <w:rPr>
          <w:rFonts w:asciiTheme="minorEastAsia" w:hAnsiTheme="minorEastAsia"/>
          <w:sz w:val="32"/>
          <w:szCs w:val="32"/>
        </w:rPr>
      </w:pPr>
      <w:r>
        <w:rPr>
          <w:rFonts w:asciiTheme="minorEastAsia" w:hAnsiTheme="minorEastAsia"/>
          <w:sz w:val="32"/>
          <w:szCs w:val="32"/>
        </w:rPr>
        <w:t>基本支出情况</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本单位2021年决算基本支出1067.13万元，其中：人员经费支出1055.26万元，公用经费支出11.87万元。</w:t>
      </w:r>
    </w:p>
    <w:p>
      <w:pPr>
        <w:widowControl/>
        <w:numPr>
          <w:ilvl w:val="0"/>
          <w:numId w:val="4"/>
        </w:numPr>
        <w:spacing w:line="600" w:lineRule="exact"/>
        <w:rPr>
          <w:rFonts w:asciiTheme="minorEastAsia" w:hAnsiTheme="minorEastAsia"/>
          <w:sz w:val="32"/>
          <w:szCs w:val="32"/>
        </w:rPr>
      </w:pPr>
      <w:r>
        <w:rPr>
          <w:rFonts w:asciiTheme="minorEastAsia" w:hAnsiTheme="minorEastAsia"/>
          <w:sz w:val="32"/>
          <w:szCs w:val="32"/>
        </w:rPr>
        <w:t>项目支出情况</w:t>
      </w:r>
    </w:p>
    <w:p>
      <w:pPr>
        <w:widowControl/>
        <w:spacing w:line="600" w:lineRule="exact"/>
        <w:ind w:firstLine="640" w:firstLineChars="200"/>
        <w:rPr>
          <w:rFonts w:asciiTheme="minorEastAsia" w:hAnsiTheme="minorEastAsia"/>
          <w:sz w:val="32"/>
          <w:szCs w:val="32"/>
        </w:rPr>
      </w:pPr>
      <w:r>
        <w:rPr>
          <w:rFonts w:hint="eastAsia" w:asciiTheme="minorEastAsia" w:hAnsiTheme="minorEastAsia"/>
          <w:sz w:val="32"/>
          <w:szCs w:val="32"/>
        </w:rPr>
        <w:t>由于我所承担的纵向科研项目全部纳入举办单位湖南师范大学统一管理，项目经费也纳入湖南师大财务系统管理；只有少数来自企业的横向课题项目由我所财务管理，如水稻育性研究、生命科学研究等；全年横向项目支出共</w:t>
      </w:r>
      <w:r>
        <w:rPr>
          <w:rFonts w:asciiTheme="minorEastAsia" w:hAnsiTheme="minorEastAsia"/>
          <w:sz w:val="32"/>
          <w:szCs w:val="32"/>
        </w:rPr>
        <w:t>14.56</w:t>
      </w:r>
      <w:r>
        <w:rPr>
          <w:rFonts w:hint="eastAsia" w:asciiTheme="minorEastAsia" w:hAnsiTheme="minorEastAsia"/>
          <w:sz w:val="32"/>
          <w:szCs w:val="32"/>
        </w:rPr>
        <w:t>万元。</w:t>
      </w:r>
    </w:p>
    <w:p>
      <w:pPr>
        <w:widowControl/>
        <w:spacing w:line="600" w:lineRule="exact"/>
        <w:ind w:firstLine="640" w:firstLineChars="200"/>
        <w:jc w:val="left"/>
        <w:rPr>
          <w:rFonts w:asciiTheme="minorEastAsia" w:hAnsiTheme="minorEastAsia"/>
          <w:sz w:val="32"/>
          <w:szCs w:val="32"/>
        </w:rPr>
      </w:pPr>
      <w:r>
        <w:rPr>
          <w:rFonts w:asciiTheme="minorEastAsia" w:hAnsiTheme="minorEastAsia"/>
          <w:sz w:val="32"/>
          <w:szCs w:val="32"/>
        </w:rPr>
        <w:t>三</w:t>
      </w:r>
      <w:r>
        <w:rPr>
          <w:rFonts w:hint="eastAsia" w:asciiTheme="minorEastAsia" w:hAnsiTheme="minorEastAsia"/>
          <w:sz w:val="32"/>
          <w:szCs w:val="32"/>
        </w:rPr>
        <w:t>、</w:t>
      </w:r>
      <w:r>
        <w:rPr>
          <w:rFonts w:asciiTheme="minorEastAsia" w:hAnsiTheme="minorEastAsia"/>
          <w:sz w:val="32"/>
          <w:szCs w:val="32"/>
        </w:rPr>
        <w:t>政府性基金预算支出情况</w:t>
      </w:r>
      <w:r>
        <w:rPr>
          <w:rFonts w:hint="eastAsia" w:asciiTheme="minorEastAsia" w:hAnsiTheme="minorEastAsia"/>
          <w:sz w:val="32"/>
          <w:szCs w:val="32"/>
        </w:rPr>
        <w:t>（</w:t>
      </w:r>
      <w:r>
        <w:rPr>
          <w:rFonts w:asciiTheme="minorEastAsia" w:hAnsiTheme="minorEastAsia"/>
          <w:sz w:val="32"/>
          <w:szCs w:val="32"/>
        </w:rPr>
        <w:t>无）</w:t>
      </w:r>
    </w:p>
    <w:p>
      <w:pPr>
        <w:widowControl/>
        <w:spacing w:line="600" w:lineRule="exact"/>
        <w:ind w:firstLine="640" w:firstLineChars="200"/>
        <w:jc w:val="left"/>
        <w:rPr>
          <w:rFonts w:asciiTheme="minorEastAsia" w:hAnsiTheme="minorEastAsia"/>
          <w:sz w:val="32"/>
          <w:szCs w:val="32"/>
        </w:rPr>
      </w:pPr>
      <w:r>
        <w:rPr>
          <w:rFonts w:asciiTheme="minorEastAsia" w:hAnsiTheme="minorEastAsia"/>
          <w:sz w:val="32"/>
          <w:szCs w:val="32"/>
        </w:rPr>
        <w:t>四</w:t>
      </w:r>
      <w:r>
        <w:rPr>
          <w:rFonts w:hint="eastAsia" w:asciiTheme="minorEastAsia" w:hAnsiTheme="minorEastAsia"/>
          <w:sz w:val="32"/>
          <w:szCs w:val="32"/>
        </w:rPr>
        <w:t>、</w:t>
      </w:r>
      <w:r>
        <w:rPr>
          <w:rFonts w:asciiTheme="minorEastAsia" w:hAnsiTheme="minorEastAsia"/>
          <w:sz w:val="32"/>
          <w:szCs w:val="32"/>
        </w:rPr>
        <w:t>国有资本经营预算支出情况</w:t>
      </w:r>
      <w:r>
        <w:rPr>
          <w:rFonts w:hint="eastAsia" w:asciiTheme="minorEastAsia" w:hAnsiTheme="minorEastAsia"/>
          <w:sz w:val="32"/>
          <w:szCs w:val="32"/>
        </w:rPr>
        <w:t>（</w:t>
      </w:r>
      <w:r>
        <w:rPr>
          <w:rFonts w:asciiTheme="minorEastAsia" w:hAnsiTheme="minorEastAsia"/>
          <w:sz w:val="32"/>
          <w:szCs w:val="32"/>
        </w:rPr>
        <w:t>无）</w:t>
      </w:r>
    </w:p>
    <w:p>
      <w:pPr>
        <w:widowControl/>
        <w:spacing w:line="600" w:lineRule="exact"/>
        <w:ind w:firstLine="640" w:firstLineChars="200"/>
        <w:jc w:val="left"/>
        <w:rPr>
          <w:rFonts w:asciiTheme="minorEastAsia" w:hAnsiTheme="minorEastAsia"/>
          <w:sz w:val="32"/>
          <w:szCs w:val="32"/>
        </w:rPr>
      </w:pPr>
      <w:r>
        <w:rPr>
          <w:rFonts w:asciiTheme="minorEastAsia" w:hAnsiTheme="minorEastAsia"/>
          <w:sz w:val="32"/>
          <w:szCs w:val="32"/>
        </w:rPr>
        <w:t>五</w:t>
      </w:r>
      <w:r>
        <w:rPr>
          <w:rFonts w:hint="eastAsia" w:asciiTheme="minorEastAsia" w:hAnsiTheme="minorEastAsia"/>
          <w:sz w:val="32"/>
          <w:szCs w:val="32"/>
        </w:rPr>
        <w:t>、</w:t>
      </w:r>
      <w:r>
        <w:rPr>
          <w:rFonts w:asciiTheme="minorEastAsia" w:hAnsiTheme="minorEastAsia"/>
          <w:sz w:val="32"/>
          <w:szCs w:val="32"/>
        </w:rPr>
        <w:t>社会保险基金预算支出情况</w:t>
      </w:r>
      <w:r>
        <w:rPr>
          <w:rFonts w:hint="eastAsia" w:asciiTheme="minorEastAsia" w:hAnsiTheme="minorEastAsia"/>
          <w:sz w:val="32"/>
          <w:szCs w:val="32"/>
        </w:rPr>
        <w:t>（</w:t>
      </w:r>
      <w:r>
        <w:rPr>
          <w:rFonts w:asciiTheme="minorEastAsia" w:hAnsiTheme="minorEastAsia"/>
          <w:sz w:val="32"/>
          <w:szCs w:val="32"/>
        </w:rPr>
        <w:t>无）</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六、</w:t>
      </w:r>
      <w:r>
        <w:rPr>
          <w:rFonts w:asciiTheme="minorEastAsia" w:hAnsiTheme="minorEastAsia"/>
          <w:sz w:val="32"/>
          <w:szCs w:val="32"/>
        </w:rPr>
        <w:t>部门</w:t>
      </w:r>
      <w:r>
        <w:rPr>
          <w:rFonts w:hint="eastAsia" w:asciiTheme="minorEastAsia" w:hAnsiTheme="minorEastAsia"/>
          <w:sz w:val="32"/>
          <w:szCs w:val="32"/>
        </w:rPr>
        <w:t>（单位）</w:t>
      </w:r>
      <w:r>
        <w:rPr>
          <w:rFonts w:asciiTheme="minorEastAsia" w:hAnsiTheme="minorEastAsia"/>
          <w:sz w:val="32"/>
          <w:szCs w:val="32"/>
        </w:rPr>
        <w:t>整体支出绩效情况</w:t>
      </w:r>
    </w:p>
    <w:p>
      <w:pPr>
        <w:widowControl/>
        <w:spacing w:line="600" w:lineRule="exact"/>
        <w:ind w:firstLine="645"/>
        <w:jc w:val="left"/>
        <w:rPr>
          <w:rFonts w:asciiTheme="minorEastAsia" w:hAnsiTheme="minorEastAsia"/>
          <w:sz w:val="32"/>
          <w:szCs w:val="32"/>
        </w:rPr>
      </w:pPr>
      <w:r>
        <w:rPr>
          <w:rFonts w:hint="eastAsia" w:asciiTheme="minorEastAsia" w:hAnsiTheme="minorEastAsia"/>
          <w:sz w:val="32"/>
          <w:szCs w:val="32"/>
        </w:rPr>
        <w:t xml:space="preserve">2021年，我单位强化管理，积极履职，较好地完成了年度工作目标。通过不断建立健全内部管理制度，加强预算收支管理，梳理内部管理流程，部门整体支出管理水平得到提升。根据部门整体支出绩效评价指标体系，我单位2021年度整体支出绩效自评分为   </w:t>
      </w:r>
      <w:r>
        <w:rPr>
          <w:rFonts w:asciiTheme="minorEastAsia" w:hAnsiTheme="minorEastAsia"/>
          <w:sz w:val="32"/>
          <w:szCs w:val="32"/>
        </w:rPr>
        <w:t xml:space="preserve"> </w:t>
      </w:r>
      <w:r>
        <w:rPr>
          <w:rFonts w:hint="eastAsia" w:asciiTheme="minorEastAsia" w:hAnsiTheme="minorEastAsia"/>
          <w:sz w:val="32"/>
          <w:szCs w:val="32"/>
        </w:rPr>
        <w:t>分。部门整体支出绩效目标</w:t>
      </w:r>
      <w:r>
        <w:rPr>
          <w:rFonts w:asciiTheme="minorEastAsia" w:hAnsiTheme="minorEastAsia"/>
          <w:sz w:val="32"/>
          <w:szCs w:val="32"/>
        </w:rPr>
        <w:t>实现程度及绩效</w:t>
      </w:r>
      <w:r>
        <w:rPr>
          <w:rFonts w:hint="eastAsia" w:asciiTheme="minorEastAsia" w:hAnsiTheme="minorEastAsia"/>
          <w:sz w:val="32"/>
          <w:szCs w:val="32"/>
        </w:rPr>
        <w:t>如下：</w:t>
      </w:r>
    </w:p>
    <w:p>
      <w:pPr>
        <w:numPr>
          <w:ilvl w:val="0"/>
          <w:numId w:val="5"/>
        </w:numPr>
        <w:spacing w:line="360" w:lineRule="auto"/>
        <w:outlineLvl w:val="0"/>
        <w:rPr>
          <w:rFonts w:asciiTheme="minorEastAsia" w:hAnsiTheme="minorEastAsia"/>
          <w:b/>
          <w:sz w:val="32"/>
          <w:szCs w:val="32"/>
        </w:rPr>
      </w:pPr>
      <w:r>
        <w:rPr>
          <w:rFonts w:hint="eastAsia" w:asciiTheme="minorEastAsia" w:hAnsiTheme="minorEastAsia"/>
          <w:b/>
          <w:sz w:val="32"/>
          <w:szCs w:val="32"/>
        </w:rPr>
        <w:t>坚持科技创新，不断提高科研成果水平</w:t>
      </w:r>
    </w:p>
    <w:p>
      <w:pPr>
        <w:spacing w:line="360" w:lineRule="auto"/>
        <w:ind w:firstLine="640" w:firstLineChars="200"/>
        <w:outlineLvl w:val="0"/>
        <w:rPr>
          <w:rFonts w:asciiTheme="minorEastAsia" w:hAnsiTheme="minorEastAsia"/>
          <w:sz w:val="32"/>
          <w:szCs w:val="32"/>
        </w:rPr>
      </w:pPr>
      <w:r>
        <w:rPr>
          <w:rFonts w:hint="eastAsia" w:asciiTheme="minorEastAsia" w:hAnsiTheme="minorEastAsia"/>
          <w:sz w:val="32"/>
          <w:szCs w:val="32"/>
        </w:rPr>
        <w:t>2021年，我所继续贯彻实施“创新兴所、服务社会”的发展战略，以人为本，充分激发科研人员的创新积极性；建设高水平的科研平台，培育完善科研创新体系，不断增强科研创新能力，科研创新水平稳步提升，在我所的优势特色研究领域取得了一系列新的研究成果。</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2021年全所致力于开展高水平的科学研究，取得了一系列具有创新意义的科研成果，科研产出稳定增长。 在科研成果奖励方面，2021年李东屏教授团队获得教育部高等学校科学研究优秀成果奖（科学技术）二等奖1项；全所在国内外学术刊物上发表论文80余篇；获得授权专利 2项。</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刘少军院士团队成果“淡水鱼类远缘杂交关键技术”入选《国家自然科学基金资助项目优秀成果选编》。刘中华教授课题组完成的论文“Molecular mechanisms of centipede toxin SsTx-4 inhibition of inwardly rectifying potassium channels”发表在生物化学与分子生物学权威杂志Journal of Biological Chemistry上，该论文是关于少棘蜈蚣多肽毒素SsTx-4作用于内向整流钾离子通道的分子机制研究。2021年全所申请8项发明专利，获得授权发明专利3项。</w:t>
      </w:r>
    </w:p>
    <w:p>
      <w:pPr>
        <w:spacing w:line="360" w:lineRule="auto"/>
        <w:ind w:firstLine="640" w:firstLineChars="200"/>
        <w:rPr>
          <w:rFonts w:asciiTheme="minorEastAsia" w:hAnsiTheme="minorEastAsia"/>
          <w:b/>
          <w:sz w:val="32"/>
          <w:szCs w:val="32"/>
        </w:rPr>
      </w:pPr>
      <w:r>
        <w:rPr>
          <w:rFonts w:hint="eastAsia" w:asciiTheme="minorEastAsia" w:hAnsiTheme="minorEastAsia"/>
          <w:b/>
          <w:sz w:val="32"/>
          <w:szCs w:val="32"/>
        </w:rPr>
        <w:t>（二）致力开展产学研合作，充分发挥科研院所服务社会的作用</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我所在积极开展高水平生物学基础理论研究和应用技术研究的同时，还充分利用国家级及省级科研平台的人才与科研创新优势，面向国家社会与经济发展的现实需求，发挥辐射与带动作用，积极开展社会服务，成为增强地方科技创新能力、服务地方经济发展壮大的重要力量，产生了显著的社会、经济和生态效益。</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2021年，我所继续推进科研成果转化工作， 12月19日，岳麓山水产种业创新中心的第一个基地暨刘少军院士工作室于望城靖港挂牌。院士团队将在这里对优质淡水鱼资源和优质品种进行保种、改良、推广等工作，实现产学研融合，为推动水产绿色健康发展提供新方案。此外，刘少军院士团队在武冈基地实现了首批鱼苗培育成功；以“雪峰山鱼种繁殖谷”、双峰“荷-鱼共养模式”等项目助力乡村发展，成效显著。陈良碧教授团队长期开展水稻不育系鉴定与不育株筛选，对全国多家种业单位和科研单位送检的样本进行检测服务。</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我所科研人员积极参与社会公益活动并发挥重要作用。陈作红教授团队开展的毒蘑菇和毒素种类鉴定、产生了较大的社会影响，陈作红教授等多次受国务院食品安全委员会办公室、中国疾控中心、湖南省疾控中心、湖南省食安办邀请，参与食品安全政策法规和中毒临床诊断治疗方案的制定；王斌副教授等长期坚持动植物资源保护与利用研究，作为智库参各级政府部门的政策咨询和制定；为国家级、省级自然保护区以及世界遗产地进行动物资源调查并制定相应的保护规划；为多个风电场、高速公路、地铁机场建设等项目进行生态评估；为军用及民用机场培训鸟害防治专业人才，在生物资源保护和生态环境优化工作中发挥了重要作用。</w:t>
      </w:r>
    </w:p>
    <w:p>
      <w:pPr>
        <w:spacing w:line="360" w:lineRule="auto"/>
        <w:ind w:firstLine="640" w:firstLineChars="200"/>
        <w:rPr>
          <w:rFonts w:asciiTheme="minorEastAsia" w:hAnsiTheme="minorEastAsia"/>
          <w:color w:val="FF0000"/>
          <w:sz w:val="32"/>
          <w:szCs w:val="32"/>
        </w:rPr>
      </w:pPr>
      <w:r>
        <w:rPr>
          <w:rFonts w:hint="eastAsia" w:asciiTheme="minorEastAsia" w:hAnsiTheme="minorEastAsia"/>
          <w:sz w:val="32"/>
          <w:szCs w:val="32"/>
        </w:rPr>
        <w:t>我所动植物标本馆作为湖南省最大的青少年科普教育基地，在开展全民科普教育中具有重要意义。动植物标本馆一方面通过向社会开放，科普志愿者提供精心的讲解服务，向公众普及生物学知识；另一方面通过微信公众号向公众推送各类科普文章，宣传普及科学知识，受到了公众的欢迎，新闻媒体多次对我所开展的科普活动进行了宣传报道。</w:t>
      </w:r>
      <w:r>
        <w:rPr>
          <w:rFonts w:hint="eastAsia" w:asciiTheme="minorEastAsia" w:hAnsiTheme="minorEastAsia"/>
          <w:color w:val="FF0000"/>
          <w:sz w:val="32"/>
          <w:szCs w:val="32"/>
        </w:rPr>
        <w:t xml:space="preserve"> </w:t>
      </w:r>
    </w:p>
    <w:p>
      <w:pPr>
        <w:spacing w:line="360" w:lineRule="auto"/>
        <w:ind w:firstLine="566" w:firstLineChars="177"/>
        <w:rPr>
          <w:rFonts w:asciiTheme="minorEastAsia" w:hAnsiTheme="minorEastAsia"/>
          <w:sz w:val="32"/>
          <w:szCs w:val="32"/>
        </w:rPr>
      </w:pPr>
      <w:r>
        <w:rPr>
          <w:rFonts w:hint="eastAsia" w:asciiTheme="minorEastAsia" w:hAnsiTheme="minorEastAsia"/>
          <w:sz w:val="32"/>
          <w:szCs w:val="32"/>
        </w:rPr>
        <w:t>（三）所行政部门在日常工作中强化管理功能，增强服务意识，当好所领导助手，保证了全所工作运行有序。在财务管理方面能够严格执行各项管理制度，尤其是预算管理，实行内部可控成本精细化管理，有效地控制了各项财务支出，实现了总费用不超支的财务管理目标。</w:t>
      </w:r>
    </w:p>
    <w:p>
      <w:pPr>
        <w:widowControl/>
        <w:spacing w:line="600" w:lineRule="exact"/>
        <w:ind w:firstLine="640" w:firstLineChars="200"/>
        <w:jc w:val="left"/>
        <w:rPr>
          <w:rFonts w:asciiTheme="minorEastAsia" w:hAnsiTheme="minorEastAsia"/>
          <w:sz w:val="32"/>
          <w:szCs w:val="32"/>
        </w:rPr>
      </w:pPr>
      <w:r>
        <w:rPr>
          <w:rFonts w:asciiTheme="minorEastAsia" w:hAnsiTheme="minorEastAsia"/>
          <w:sz w:val="32"/>
          <w:szCs w:val="32"/>
        </w:rPr>
        <w:t>七</w:t>
      </w:r>
      <w:r>
        <w:rPr>
          <w:rFonts w:hint="eastAsia" w:asciiTheme="minorEastAsia" w:hAnsiTheme="minorEastAsia"/>
          <w:sz w:val="32"/>
          <w:szCs w:val="32"/>
        </w:rPr>
        <w:t>、</w:t>
      </w:r>
      <w:r>
        <w:rPr>
          <w:rFonts w:asciiTheme="minorEastAsia" w:hAnsiTheme="minorEastAsia"/>
          <w:sz w:val="32"/>
          <w:szCs w:val="32"/>
        </w:rPr>
        <w:t>存在的问题及</w:t>
      </w:r>
      <w:r>
        <w:rPr>
          <w:rFonts w:hint="eastAsia" w:asciiTheme="minorEastAsia" w:hAnsiTheme="minorEastAsia"/>
          <w:sz w:val="32"/>
          <w:szCs w:val="32"/>
        </w:rPr>
        <w:t>原因分析</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预算</w:t>
      </w:r>
      <w:r>
        <w:rPr>
          <w:rFonts w:asciiTheme="minorEastAsia" w:hAnsiTheme="minorEastAsia"/>
          <w:sz w:val="32"/>
          <w:szCs w:val="32"/>
        </w:rPr>
        <w:t>编制</w:t>
      </w:r>
      <w:r>
        <w:rPr>
          <w:rFonts w:hint="eastAsia" w:asciiTheme="minorEastAsia" w:hAnsiTheme="minorEastAsia"/>
          <w:sz w:val="32"/>
          <w:szCs w:val="32"/>
        </w:rPr>
        <w:t>是</w:t>
      </w:r>
      <w:r>
        <w:rPr>
          <w:rFonts w:asciiTheme="minorEastAsia" w:hAnsiTheme="minorEastAsia"/>
          <w:sz w:val="32"/>
          <w:szCs w:val="32"/>
        </w:rPr>
        <w:t>根据</w:t>
      </w:r>
      <w:r>
        <w:rPr>
          <w:rFonts w:hint="eastAsia" w:asciiTheme="minorEastAsia" w:hAnsiTheme="minorEastAsia"/>
          <w:sz w:val="32"/>
          <w:szCs w:val="32"/>
        </w:rPr>
        <w:t>上一</w:t>
      </w:r>
      <w:r>
        <w:rPr>
          <w:rFonts w:asciiTheme="minorEastAsia" w:hAnsiTheme="minorEastAsia"/>
          <w:sz w:val="32"/>
          <w:szCs w:val="32"/>
        </w:rPr>
        <w:t>年度单位可预见的工作任务确定</w:t>
      </w:r>
      <w:r>
        <w:rPr>
          <w:rFonts w:hint="eastAsia" w:asciiTheme="minorEastAsia" w:hAnsiTheme="minorEastAsia"/>
          <w:sz w:val="32"/>
          <w:szCs w:val="32"/>
        </w:rPr>
        <w:t>单位下</w:t>
      </w:r>
      <w:r>
        <w:rPr>
          <w:rFonts w:asciiTheme="minorEastAsia" w:hAnsiTheme="minorEastAsia"/>
          <w:sz w:val="32"/>
          <w:szCs w:val="32"/>
        </w:rPr>
        <w:t>年度预算目标，细化预算指标，但是在实际</w:t>
      </w:r>
      <w:r>
        <w:rPr>
          <w:rFonts w:hint="eastAsia" w:asciiTheme="minorEastAsia" w:hAnsiTheme="minorEastAsia"/>
          <w:sz w:val="32"/>
          <w:szCs w:val="32"/>
        </w:rPr>
        <w:t>支付</w:t>
      </w:r>
      <w:r>
        <w:rPr>
          <w:rFonts w:asciiTheme="minorEastAsia" w:hAnsiTheme="minorEastAsia"/>
          <w:sz w:val="32"/>
          <w:szCs w:val="32"/>
        </w:rPr>
        <w:t>过程中，</w:t>
      </w:r>
      <w:r>
        <w:rPr>
          <w:rFonts w:hint="eastAsia" w:asciiTheme="minorEastAsia" w:hAnsiTheme="minorEastAsia"/>
          <w:sz w:val="32"/>
          <w:szCs w:val="32"/>
        </w:rPr>
        <w:t>由于各种不可预见情况的发生，很</w:t>
      </w:r>
      <w:r>
        <w:rPr>
          <w:rFonts w:asciiTheme="minorEastAsia" w:hAnsiTheme="minorEastAsia"/>
          <w:sz w:val="32"/>
          <w:szCs w:val="32"/>
        </w:rPr>
        <w:t>难</w:t>
      </w:r>
      <w:r>
        <w:rPr>
          <w:rFonts w:hint="eastAsia" w:asciiTheme="minorEastAsia" w:hAnsiTheme="minorEastAsia"/>
          <w:sz w:val="32"/>
          <w:szCs w:val="32"/>
        </w:rPr>
        <w:t>完全</w:t>
      </w:r>
      <w:r>
        <w:rPr>
          <w:rFonts w:asciiTheme="minorEastAsia" w:hAnsiTheme="minorEastAsia"/>
          <w:sz w:val="32"/>
          <w:szCs w:val="32"/>
        </w:rPr>
        <w:t>严格按预算指标执</w:t>
      </w:r>
      <w:r>
        <w:rPr>
          <w:rFonts w:hint="eastAsia" w:asciiTheme="minorEastAsia" w:hAnsiTheme="minorEastAsia"/>
          <w:sz w:val="32"/>
          <w:szCs w:val="32"/>
        </w:rPr>
        <w:t>行</w:t>
      </w:r>
      <w:r>
        <w:rPr>
          <w:rFonts w:asciiTheme="minorEastAsia" w:hAnsiTheme="minorEastAsia"/>
          <w:sz w:val="32"/>
          <w:szCs w:val="32"/>
        </w:rPr>
        <w:t>。</w:t>
      </w:r>
      <w:r>
        <w:rPr>
          <w:rFonts w:hint="eastAsia" w:asciiTheme="minorEastAsia" w:hAnsiTheme="minorEastAsia"/>
          <w:sz w:val="32"/>
          <w:szCs w:val="32"/>
        </w:rPr>
        <w:t>因此在今后的工作中需要进一步加强预算工作的科学性和前瞻性。</w:t>
      </w:r>
    </w:p>
    <w:p>
      <w:pPr>
        <w:widowControl/>
        <w:spacing w:line="600" w:lineRule="exact"/>
        <w:ind w:firstLine="640" w:firstLineChars="200"/>
        <w:jc w:val="left"/>
        <w:rPr>
          <w:rFonts w:asciiTheme="minorEastAsia" w:hAnsiTheme="minorEastAsia"/>
          <w:sz w:val="32"/>
          <w:szCs w:val="32"/>
        </w:rPr>
      </w:pPr>
      <w:r>
        <w:rPr>
          <w:rFonts w:asciiTheme="minorEastAsia" w:hAnsiTheme="minorEastAsia"/>
          <w:sz w:val="32"/>
          <w:szCs w:val="32"/>
        </w:rPr>
        <w:t>八</w:t>
      </w:r>
      <w:r>
        <w:rPr>
          <w:rFonts w:hint="eastAsia" w:asciiTheme="minorEastAsia" w:hAnsiTheme="minorEastAsia"/>
          <w:sz w:val="32"/>
          <w:szCs w:val="32"/>
        </w:rPr>
        <w:t>、</w:t>
      </w:r>
      <w:r>
        <w:rPr>
          <w:rFonts w:asciiTheme="minorEastAsia" w:hAnsiTheme="minorEastAsia"/>
          <w:sz w:val="32"/>
          <w:szCs w:val="32"/>
        </w:rPr>
        <w:t>下一步改进措施</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针对上述存在的问题及对外整体支出管理工作的需要，拟实施的改进措施如下：</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1、</w:t>
      </w:r>
      <w:r>
        <w:rPr>
          <w:rFonts w:asciiTheme="minorEastAsia" w:hAnsiTheme="minorEastAsia"/>
          <w:sz w:val="32"/>
          <w:szCs w:val="32"/>
        </w:rPr>
        <w:t>加强学习，提高思想认识</w:t>
      </w:r>
      <w:r>
        <w:rPr>
          <w:rFonts w:hint="eastAsia" w:asciiTheme="minorEastAsia" w:hAnsiTheme="minorEastAsia"/>
          <w:sz w:val="32"/>
          <w:szCs w:val="32"/>
        </w:rPr>
        <w:t>。</w:t>
      </w:r>
      <w:r>
        <w:rPr>
          <w:rFonts w:asciiTheme="minorEastAsia" w:hAnsiTheme="minorEastAsia"/>
          <w:sz w:val="32"/>
          <w:szCs w:val="32"/>
        </w:rPr>
        <w:t>认真</w:t>
      </w:r>
      <w:r>
        <w:rPr>
          <w:rFonts w:hint="eastAsia" w:asciiTheme="minorEastAsia" w:hAnsiTheme="minorEastAsia"/>
          <w:sz w:val="32"/>
          <w:szCs w:val="32"/>
        </w:rPr>
        <w:t>组织全员</w:t>
      </w:r>
      <w:r>
        <w:rPr>
          <w:rFonts w:asciiTheme="minorEastAsia" w:hAnsiTheme="minorEastAsia"/>
          <w:sz w:val="32"/>
          <w:szCs w:val="32"/>
        </w:rPr>
        <w:t>学习《</w:t>
      </w:r>
      <w:r>
        <w:rPr>
          <w:rFonts w:hint="eastAsia" w:asciiTheme="minorEastAsia" w:hAnsiTheme="minorEastAsia"/>
          <w:sz w:val="32"/>
          <w:szCs w:val="32"/>
        </w:rPr>
        <w:t>预算</w:t>
      </w:r>
      <w:r>
        <w:rPr>
          <w:rFonts w:asciiTheme="minorEastAsia" w:hAnsiTheme="minorEastAsia"/>
          <w:sz w:val="32"/>
          <w:szCs w:val="32"/>
        </w:rPr>
        <w:t>法》</w:t>
      </w:r>
      <w:r>
        <w:rPr>
          <w:rFonts w:hint="eastAsia" w:asciiTheme="minorEastAsia" w:hAnsiTheme="minorEastAsia"/>
          <w:sz w:val="32"/>
          <w:szCs w:val="32"/>
        </w:rPr>
        <w:t>等</w:t>
      </w:r>
      <w:r>
        <w:rPr>
          <w:rFonts w:asciiTheme="minorEastAsia" w:hAnsiTheme="minorEastAsia"/>
          <w:sz w:val="32"/>
          <w:szCs w:val="32"/>
        </w:rPr>
        <w:t>相关法规，</w:t>
      </w:r>
      <w:r>
        <w:rPr>
          <w:rFonts w:hint="eastAsia" w:asciiTheme="minorEastAsia" w:hAnsiTheme="minorEastAsia"/>
          <w:sz w:val="32"/>
          <w:szCs w:val="32"/>
        </w:rPr>
        <w:t>进一步提高全所各</w:t>
      </w:r>
      <w:r>
        <w:rPr>
          <w:rFonts w:asciiTheme="minorEastAsia" w:hAnsiTheme="minorEastAsia"/>
          <w:sz w:val="32"/>
          <w:szCs w:val="32"/>
        </w:rPr>
        <w:t>部门</w:t>
      </w:r>
      <w:r>
        <w:rPr>
          <w:rFonts w:hint="eastAsia" w:asciiTheme="minorEastAsia" w:hAnsiTheme="minorEastAsia"/>
          <w:sz w:val="32"/>
          <w:szCs w:val="32"/>
        </w:rPr>
        <w:t>的预算管理意识，加强</w:t>
      </w:r>
      <w:r>
        <w:rPr>
          <w:rFonts w:asciiTheme="minorEastAsia" w:hAnsiTheme="minorEastAsia"/>
          <w:sz w:val="32"/>
          <w:szCs w:val="32"/>
        </w:rPr>
        <w:t>对</w:t>
      </w:r>
      <w:r>
        <w:rPr>
          <w:rFonts w:hint="eastAsia" w:asciiTheme="minorEastAsia" w:hAnsiTheme="minorEastAsia"/>
          <w:sz w:val="32"/>
          <w:szCs w:val="32"/>
        </w:rPr>
        <w:t>全员进行</w:t>
      </w:r>
      <w:r>
        <w:rPr>
          <w:rFonts w:asciiTheme="minorEastAsia" w:hAnsiTheme="minorEastAsia"/>
          <w:sz w:val="32"/>
          <w:szCs w:val="32"/>
        </w:rPr>
        <w:t>预算</w:t>
      </w:r>
      <w:r>
        <w:rPr>
          <w:rFonts w:hint="eastAsia" w:asciiTheme="minorEastAsia" w:hAnsiTheme="minorEastAsia"/>
          <w:sz w:val="32"/>
          <w:szCs w:val="32"/>
        </w:rPr>
        <w:t>编制和执行的操作培训</w:t>
      </w:r>
      <w:r>
        <w:rPr>
          <w:rFonts w:asciiTheme="minorEastAsia" w:hAnsiTheme="minorEastAsia"/>
          <w:sz w:val="32"/>
          <w:szCs w:val="32"/>
        </w:rPr>
        <w:t>。</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2、严格</w:t>
      </w:r>
      <w:r>
        <w:rPr>
          <w:rFonts w:asciiTheme="minorEastAsia" w:hAnsiTheme="minorEastAsia"/>
          <w:sz w:val="32"/>
          <w:szCs w:val="32"/>
        </w:rPr>
        <w:t>管理</w:t>
      </w:r>
      <w:r>
        <w:rPr>
          <w:rFonts w:hint="eastAsia" w:asciiTheme="minorEastAsia" w:hAnsiTheme="minorEastAsia"/>
          <w:sz w:val="32"/>
          <w:szCs w:val="32"/>
        </w:rPr>
        <w:t>和</w:t>
      </w:r>
      <w:r>
        <w:rPr>
          <w:rFonts w:asciiTheme="minorEastAsia" w:hAnsiTheme="minorEastAsia"/>
          <w:sz w:val="32"/>
          <w:szCs w:val="32"/>
        </w:rPr>
        <w:t>控制公用经费支出。认真</w:t>
      </w:r>
      <w:r>
        <w:rPr>
          <w:rFonts w:hint="eastAsia" w:asciiTheme="minorEastAsia" w:hAnsiTheme="minorEastAsia"/>
          <w:sz w:val="32"/>
          <w:szCs w:val="32"/>
        </w:rPr>
        <w:t>贯彻</w:t>
      </w:r>
      <w:r>
        <w:rPr>
          <w:rFonts w:asciiTheme="minorEastAsia" w:hAnsiTheme="minorEastAsia"/>
          <w:sz w:val="32"/>
          <w:szCs w:val="32"/>
        </w:rPr>
        <w:t>落实中央八项规定</w:t>
      </w:r>
      <w:r>
        <w:rPr>
          <w:rFonts w:hint="eastAsia" w:asciiTheme="minorEastAsia" w:hAnsiTheme="minorEastAsia"/>
          <w:sz w:val="32"/>
          <w:szCs w:val="32"/>
        </w:rPr>
        <w:t>，</w:t>
      </w:r>
      <w:r>
        <w:rPr>
          <w:rFonts w:asciiTheme="minorEastAsia" w:hAnsiTheme="minorEastAsia"/>
          <w:sz w:val="32"/>
          <w:szCs w:val="32"/>
        </w:rPr>
        <w:t>切实加强</w:t>
      </w:r>
      <w:r>
        <w:rPr>
          <w:rFonts w:hint="eastAsia" w:asciiTheme="minorEastAsia" w:hAnsiTheme="minorEastAsia"/>
          <w:sz w:val="32"/>
          <w:szCs w:val="32"/>
        </w:rPr>
        <w:t>经费</w:t>
      </w:r>
      <w:r>
        <w:rPr>
          <w:rFonts w:asciiTheme="minorEastAsia" w:hAnsiTheme="minorEastAsia"/>
          <w:sz w:val="32"/>
          <w:szCs w:val="32"/>
        </w:rPr>
        <w:t>管理</w:t>
      </w:r>
      <w:r>
        <w:rPr>
          <w:rFonts w:hint="eastAsia" w:asciiTheme="minorEastAsia" w:hAnsiTheme="minorEastAsia"/>
          <w:sz w:val="32"/>
          <w:szCs w:val="32"/>
        </w:rPr>
        <w:t>并</w:t>
      </w:r>
      <w:r>
        <w:rPr>
          <w:rFonts w:asciiTheme="minorEastAsia" w:hAnsiTheme="minorEastAsia"/>
          <w:sz w:val="32"/>
          <w:szCs w:val="32"/>
        </w:rPr>
        <w:t>严格按规定开支有关经费，确保单</w:t>
      </w:r>
      <w:r>
        <w:rPr>
          <w:rFonts w:hint="eastAsia" w:asciiTheme="minorEastAsia" w:hAnsiTheme="minorEastAsia"/>
          <w:sz w:val="32"/>
          <w:szCs w:val="32"/>
        </w:rPr>
        <w:t>位经</w:t>
      </w:r>
      <w:r>
        <w:rPr>
          <w:rFonts w:asciiTheme="minorEastAsia" w:hAnsiTheme="minorEastAsia"/>
          <w:sz w:val="32"/>
          <w:szCs w:val="32"/>
        </w:rPr>
        <w:t>费</w:t>
      </w:r>
      <w:r>
        <w:rPr>
          <w:rFonts w:hint="eastAsia" w:asciiTheme="minorEastAsia" w:hAnsiTheme="minorEastAsia"/>
          <w:sz w:val="32"/>
          <w:szCs w:val="32"/>
        </w:rPr>
        <w:t>合规使用</w:t>
      </w:r>
      <w:r>
        <w:rPr>
          <w:rFonts w:asciiTheme="minorEastAsia" w:hAnsiTheme="minorEastAsia"/>
          <w:sz w:val="32"/>
          <w:szCs w:val="32"/>
        </w:rPr>
        <w:t>。</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3、规范</w:t>
      </w:r>
      <w:r>
        <w:rPr>
          <w:rFonts w:asciiTheme="minorEastAsia" w:hAnsiTheme="minorEastAsia"/>
          <w:sz w:val="32"/>
          <w:szCs w:val="32"/>
        </w:rPr>
        <w:t>财务</w:t>
      </w:r>
      <w:r>
        <w:rPr>
          <w:rFonts w:hint="eastAsia" w:asciiTheme="minorEastAsia" w:hAnsiTheme="minorEastAsia"/>
          <w:sz w:val="32"/>
          <w:szCs w:val="32"/>
        </w:rPr>
        <w:t>管理</w:t>
      </w:r>
      <w:r>
        <w:rPr>
          <w:rFonts w:asciiTheme="minorEastAsia" w:hAnsiTheme="minorEastAsia"/>
          <w:sz w:val="32"/>
          <w:szCs w:val="32"/>
        </w:rPr>
        <w:t>，</w:t>
      </w:r>
      <w:r>
        <w:rPr>
          <w:rFonts w:hint="eastAsia" w:asciiTheme="minorEastAsia" w:hAnsiTheme="minorEastAsia"/>
          <w:sz w:val="32"/>
          <w:szCs w:val="32"/>
        </w:rPr>
        <w:t>建立</w:t>
      </w:r>
      <w:r>
        <w:rPr>
          <w:rFonts w:asciiTheme="minorEastAsia" w:hAnsiTheme="minorEastAsia"/>
          <w:sz w:val="32"/>
          <w:szCs w:val="32"/>
        </w:rPr>
        <w:t>健全并认真执行各项资金使用管理制度</w:t>
      </w:r>
      <w:r>
        <w:rPr>
          <w:rFonts w:hint="eastAsia" w:asciiTheme="minorEastAsia" w:hAnsiTheme="minorEastAsia"/>
          <w:sz w:val="32"/>
          <w:szCs w:val="32"/>
        </w:rPr>
        <w:t>。</w:t>
      </w:r>
      <w:r>
        <w:rPr>
          <w:rFonts w:asciiTheme="minorEastAsia" w:hAnsiTheme="minorEastAsia"/>
          <w:sz w:val="32"/>
          <w:szCs w:val="32"/>
        </w:rPr>
        <w:t>加强支出预算</w:t>
      </w:r>
      <w:r>
        <w:rPr>
          <w:rFonts w:hint="eastAsia" w:asciiTheme="minorEastAsia" w:hAnsiTheme="minorEastAsia"/>
          <w:sz w:val="32"/>
          <w:szCs w:val="32"/>
        </w:rPr>
        <w:t>，</w:t>
      </w:r>
      <w:r>
        <w:rPr>
          <w:rFonts w:asciiTheme="minorEastAsia" w:hAnsiTheme="minorEastAsia"/>
          <w:sz w:val="32"/>
          <w:szCs w:val="32"/>
        </w:rPr>
        <w:t>严格</w:t>
      </w:r>
      <w:r>
        <w:rPr>
          <w:rFonts w:hint="eastAsia" w:asciiTheme="minorEastAsia" w:hAnsiTheme="minorEastAsia"/>
          <w:sz w:val="32"/>
          <w:szCs w:val="32"/>
        </w:rPr>
        <w:t>遵循“先</w:t>
      </w:r>
      <w:r>
        <w:rPr>
          <w:rFonts w:asciiTheme="minorEastAsia" w:hAnsiTheme="minorEastAsia"/>
          <w:sz w:val="32"/>
          <w:szCs w:val="32"/>
        </w:rPr>
        <w:t>有预算，后有支出</w:t>
      </w:r>
      <w:r>
        <w:rPr>
          <w:rFonts w:hint="eastAsia" w:asciiTheme="minorEastAsia" w:hAnsiTheme="minorEastAsia"/>
          <w:sz w:val="32"/>
          <w:szCs w:val="32"/>
        </w:rPr>
        <w:t>”的</w:t>
      </w:r>
      <w:r>
        <w:rPr>
          <w:rFonts w:asciiTheme="minorEastAsia" w:hAnsiTheme="minorEastAsia"/>
          <w:sz w:val="32"/>
          <w:szCs w:val="32"/>
        </w:rPr>
        <w:t>原则</w:t>
      </w:r>
      <w:r>
        <w:rPr>
          <w:rFonts w:hint="eastAsia" w:asciiTheme="minorEastAsia" w:hAnsiTheme="minorEastAsia"/>
          <w:sz w:val="32"/>
          <w:szCs w:val="32"/>
        </w:rPr>
        <w:t>；</w:t>
      </w:r>
      <w:r>
        <w:rPr>
          <w:rFonts w:asciiTheme="minorEastAsia" w:hAnsiTheme="minorEastAsia"/>
          <w:sz w:val="32"/>
          <w:szCs w:val="32"/>
        </w:rPr>
        <w:t>建立内部控制机制，严格履行资金使用审批程序</w:t>
      </w:r>
      <w:r>
        <w:rPr>
          <w:rFonts w:hint="eastAsia" w:asciiTheme="minorEastAsia" w:hAnsiTheme="minorEastAsia"/>
          <w:sz w:val="32"/>
          <w:szCs w:val="32"/>
        </w:rPr>
        <w:t>，</w:t>
      </w:r>
      <w:r>
        <w:rPr>
          <w:rFonts w:asciiTheme="minorEastAsia" w:hAnsiTheme="minorEastAsia"/>
          <w:sz w:val="32"/>
          <w:szCs w:val="32"/>
        </w:rPr>
        <w:t>确保资金支出真实</w:t>
      </w:r>
      <w:r>
        <w:rPr>
          <w:rFonts w:hint="eastAsia" w:asciiTheme="minorEastAsia" w:hAnsiTheme="minorEastAsia"/>
          <w:sz w:val="32"/>
          <w:szCs w:val="32"/>
        </w:rPr>
        <w:t>、</w:t>
      </w:r>
      <w:r>
        <w:rPr>
          <w:rFonts w:asciiTheme="minorEastAsia" w:hAnsiTheme="minorEastAsia"/>
          <w:sz w:val="32"/>
          <w:szCs w:val="32"/>
        </w:rPr>
        <w:t>合法</w:t>
      </w:r>
      <w:r>
        <w:rPr>
          <w:rFonts w:hint="eastAsia" w:asciiTheme="minorEastAsia" w:hAnsiTheme="minorEastAsia"/>
          <w:sz w:val="32"/>
          <w:szCs w:val="32"/>
        </w:rPr>
        <w:t>；</w:t>
      </w:r>
      <w:r>
        <w:rPr>
          <w:rFonts w:asciiTheme="minorEastAsia" w:hAnsiTheme="minorEastAsia"/>
          <w:sz w:val="32"/>
          <w:szCs w:val="32"/>
        </w:rPr>
        <w:t>严格</w:t>
      </w:r>
      <w:r>
        <w:rPr>
          <w:rFonts w:hint="eastAsia" w:asciiTheme="minorEastAsia" w:hAnsiTheme="minorEastAsia"/>
          <w:sz w:val="32"/>
          <w:szCs w:val="32"/>
        </w:rPr>
        <w:t>落实</w:t>
      </w:r>
      <w:r>
        <w:rPr>
          <w:rFonts w:asciiTheme="minorEastAsia" w:hAnsiTheme="minorEastAsia"/>
          <w:sz w:val="32"/>
          <w:szCs w:val="32"/>
        </w:rPr>
        <w:t>会计核算</w:t>
      </w:r>
      <w:r>
        <w:rPr>
          <w:rFonts w:hint="eastAsia" w:asciiTheme="minorEastAsia" w:hAnsiTheme="minorEastAsia"/>
          <w:sz w:val="32"/>
          <w:szCs w:val="32"/>
        </w:rPr>
        <w:t>、</w:t>
      </w:r>
      <w:r>
        <w:rPr>
          <w:rFonts w:asciiTheme="minorEastAsia" w:hAnsiTheme="minorEastAsia"/>
          <w:sz w:val="32"/>
          <w:szCs w:val="32"/>
        </w:rPr>
        <w:t>报销审批制度，</w:t>
      </w:r>
      <w:r>
        <w:rPr>
          <w:rFonts w:hint="eastAsia" w:asciiTheme="minorEastAsia" w:hAnsiTheme="minorEastAsia"/>
          <w:sz w:val="32"/>
          <w:szCs w:val="32"/>
        </w:rPr>
        <w:t>加强</w:t>
      </w:r>
      <w:r>
        <w:rPr>
          <w:rFonts w:asciiTheme="minorEastAsia" w:hAnsiTheme="minorEastAsia"/>
          <w:sz w:val="32"/>
          <w:szCs w:val="32"/>
        </w:rPr>
        <w:t>对资金使用</w:t>
      </w:r>
      <w:r>
        <w:rPr>
          <w:rFonts w:hint="eastAsia" w:asciiTheme="minorEastAsia" w:hAnsiTheme="minorEastAsia"/>
          <w:sz w:val="32"/>
          <w:szCs w:val="32"/>
        </w:rPr>
        <w:t>环节</w:t>
      </w:r>
      <w:r>
        <w:rPr>
          <w:rFonts w:asciiTheme="minorEastAsia" w:hAnsiTheme="minorEastAsia"/>
          <w:sz w:val="32"/>
          <w:szCs w:val="32"/>
        </w:rPr>
        <w:t>的监督</w:t>
      </w:r>
      <w:r>
        <w:rPr>
          <w:rFonts w:hint="eastAsia" w:asciiTheme="minorEastAsia" w:hAnsiTheme="minorEastAsia"/>
          <w:sz w:val="32"/>
          <w:szCs w:val="32"/>
        </w:rPr>
        <w:t>；</w:t>
      </w:r>
      <w:r>
        <w:rPr>
          <w:rFonts w:asciiTheme="minorEastAsia" w:hAnsiTheme="minorEastAsia"/>
          <w:sz w:val="32"/>
          <w:szCs w:val="32"/>
        </w:rPr>
        <w:t>在资金支付管理方面，严格按照规定程序向财</w:t>
      </w:r>
      <w:r>
        <w:rPr>
          <w:rFonts w:hint="eastAsia" w:asciiTheme="minorEastAsia" w:hAnsiTheme="minorEastAsia"/>
          <w:sz w:val="32"/>
          <w:szCs w:val="32"/>
        </w:rPr>
        <w:t>政</w:t>
      </w:r>
      <w:r>
        <w:rPr>
          <w:rFonts w:asciiTheme="minorEastAsia" w:hAnsiTheme="minorEastAsia"/>
          <w:sz w:val="32"/>
          <w:szCs w:val="32"/>
        </w:rPr>
        <w:t>部门申请用款，</w:t>
      </w:r>
      <w:r>
        <w:rPr>
          <w:rFonts w:hint="eastAsia" w:asciiTheme="minorEastAsia" w:hAnsiTheme="minorEastAsia"/>
          <w:sz w:val="32"/>
          <w:szCs w:val="32"/>
        </w:rPr>
        <w:t>在</w:t>
      </w:r>
      <w:r>
        <w:rPr>
          <w:rFonts w:asciiTheme="minorEastAsia" w:hAnsiTheme="minorEastAsia"/>
          <w:sz w:val="32"/>
          <w:szCs w:val="32"/>
        </w:rPr>
        <w:t>财</w:t>
      </w:r>
      <w:r>
        <w:rPr>
          <w:rFonts w:hint="eastAsia" w:asciiTheme="minorEastAsia" w:hAnsiTheme="minorEastAsia"/>
          <w:sz w:val="32"/>
          <w:szCs w:val="32"/>
        </w:rPr>
        <w:t>政</w:t>
      </w:r>
      <w:r>
        <w:rPr>
          <w:rFonts w:asciiTheme="minorEastAsia" w:hAnsiTheme="minorEastAsia"/>
          <w:sz w:val="32"/>
          <w:szCs w:val="32"/>
        </w:rPr>
        <w:t>部门批复的支出预算资金范围内申请使用一般预算支出经费。</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九、</w:t>
      </w:r>
      <w:r>
        <w:rPr>
          <w:rFonts w:asciiTheme="minorEastAsia" w:hAnsiTheme="minorEastAsia"/>
          <w:sz w:val="32"/>
          <w:szCs w:val="32"/>
        </w:rPr>
        <w:t>绩效自评结果拟应用和公开情况</w:t>
      </w:r>
    </w:p>
    <w:p>
      <w:pPr>
        <w:widowControl/>
        <w:spacing w:line="600" w:lineRule="exact"/>
        <w:ind w:firstLine="645"/>
        <w:jc w:val="left"/>
        <w:rPr>
          <w:rFonts w:asciiTheme="minorEastAsia" w:hAnsiTheme="minorEastAsia"/>
          <w:sz w:val="32"/>
          <w:szCs w:val="32"/>
        </w:rPr>
      </w:pPr>
      <w:r>
        <w:rPr>
          <w:rFonts w:hint="eastAsia" w:asciiTheme="minorEastAsia" w:hAnsiTheme="minorEastAsia"/>
          <w:sz w:val="32"/>
          <w:szCs w:val="32"/>
        </w:rPr>
        <w:t>（一）本单位将自评结果作为下一年度预算安排和编制的依据，将有力提高预算制定的科学性和有效性。</w:t>
      </w:r>
    </w:p>
    <w:p>
      <w:pPr>
        <w:widowControl/>
        <w:spacing w:line="600" w:lineRule="exact"/>
        <w:ind w:firstLine="645"/>
        <w:jc w:val="left"/>
        <w:rPr>
          <w:rFonts w:asciiTheme="minorEastAsia" w:hAnsiTheme="minorEastAsia"/>
          <w:sz w:val="32"/>
          <w:szCs w:val="32"/>
        </w:rPr>
      </w:pPr>
      <w:r>
        <w:rPr>
          <w:rFonts w:hint="eastAsia" w:asciiTheme="minorEastAsia" w:hAnsiTheme="minorEastAsia"/>
          <w:sz w:val="32"/>
          <w:szCs w:val="32"/>
        </w:rPr>
        <w:t>（二）本单位将根据财政的要求提交</w:t>
      </w:r>
      <w:r>
        <w:rPr>
          <w:rFonts w:asciiTheme="minorEastAsia" w:hAnsiTheme="minorEastAsia"/>
          <w:sz w:val="32"/>
          <w:szCs w:val="32"/>
        </w:rPr>
        <w:t>上级单位</w:t>
      </w:r>
      <w:r>
        <w:rPr>
          <w:rFonts w:hint="eastAsia" w:asciiTheme="minorEastAsia" w:hAnsiTheme="minorEastAsia"/>
          <w:sz w:val="32"/>
          <w:szCs w:val="32"/>
        </w:rPr>
        <w:t>并在门户网站公开本自评报告，接受社会大众监督。</w:t>
      </w:r>
    </w:p>
    <w:p>
      <w:pPr>
        <w:widowControl/>
        <w:spacing w:line="600" w:lineRule="exact"/>
        <w:ind w:firstLine="645"/>
        <w:jc w:val="left"/>
        <w:rPr>
          <w:rFonts w:asciiTheme="minorEastAsia" w:hAnsiTheme="minorEastAsia"/>
          <w:sz w:val="32"/>
          <w:szCs w:val="32"/>
        </w:rPr>
      </w:pPr>
      <w:r>
        <w:rPr>
          <w:rFonts w:hint="eastAsia" w:asciiTheme="minorEastAsia" w:hAnsiTheme="minorEastAsia"/>
          <w:sz w:val="32"/>
          <w:szCs w:val="32"/>
        </w:rPr>
        <w:t>十、</w:t>
      </w:r>
      <w:r>
        <w:rPr>
          <w:rFonts w:asciiTheme="minorEastAsia" w:hAnsiTheme="minorEastAsia"/>
          <w:sz w:val="32"/>
          <w:szCs w:val="32"/>
        </w:rPr>
        <w:t>其他需要说明的情况</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我所是1985年经省委、省政府同意成立，建立在湖南师范大学，与湖南师大生命科学学院合署办公，但单列编制户头，具有独立法人资格。2012年被批准为公益二类科研院所，加挂湖南鱼类遗传育种中心牌子。</w:t>
      </w:r>
    </w:p>
    <w:p>
      <w:pPr>
        <w:widowControl/>
        <w:spacing w:line="600" w:lineRule="exact"/>
        <w:ind w:firstLine="640" w:firstLineChars="200"/>
        <w:jc w:val="left"/>
        <w:rPr>
          <w:rFonts w:asciiTheme="minorEastAsia" w:hAnsiTheme="minorEastAsia"/>
          <w:sz w:val="32"/>
          <w:szCs w:val="32"/>
        </w:rPr>
      </w:pPr>
      <w:r>
        <w:rPr>
          <w:rFonts w:hint="eastAsia" w:asciiTheme="minorEastAsia" w:hAnsiTheme="minorEastAsia"/>
          <w:sz w:val="32"/>
          <w:szCs w:val="32"/>
        </w:rPr>
        <w:t>省生物研究所自批准成立以来，一直由省科技厅领导和湖南师范大学共同领导，省财政厅、省科技厅下拨人员经费，湖南师范大学作为举办单位，生物所经费不足部分由其补足，各项业务工作也是在其管理下有序开展。</w:t>
      </w:r>
    </w:p>
    <w:p>
      <w:pPr>
        <w:rPr>
          <w:rFonts w:asciiTheme="minorEastAsia" w:hAnsiTheme="minorEastAsia"/>
          <w:color w:val="FF0000"/>
          <w:sz w:val="32"/>
          <w:szCs w:val="32"/>
        </w:rPr>
      </w:pPr>
      <w:r>
        <w:rPr>
          <w:rFonts w:hint="eastAsia" w:asciiTheme="minorEastAsia" w:hAnsiTheme="minorEastAsia"/>
          <w:color w:val="FF0000"/>
          <w:sz w:val="32"/>
          <w:szCs w:val="32"/>
        </w:rPr>
        <w:t xml:space="preserve">    </w:t>
      </w:r>
      <w:r>
        <w:rPr>
          <w:rFonts w:hint="eastAsia" w:asciiTheme="minorEastAsia" w:hAnsiTheme="minorEastAsia"/>
          <w:sz w:val="32"/>
          <w:szCs w:val="32"/>
        </w:rPr>
        <w:t>由于我所的科研业务活动由举办单位湖南师范大学统一管理，科研项目申报均以湖南师范大学为依托单位，科研成果均标注为湖南师范大学，纵向科研项目经费和大部分横向项目的经费由湖南师范大学统一管理，仅少部分来自企业的项目经费由我所财务管理，故在我所的财务系统里仅体现少量项目的经费支出情况。关于这</w:t>
      </w:r>
      <w:r>
        <w:rPr>
          <w:rFonts w:hint="eastAsia" w:cs="宋体" w:asciiTheme="minorEastAsia" w:hAnsiTheme="minorEastAsia"/>
          <w:sz w:val="32"/>
          <w:szCs w:val="32"/>
        </w:rPr>
        <w:t>些项目的绩效评价在绩效目标、项目产出和项目效益有简要说明。</w:t>
      </w:r>
    </w:p>
    <w:sectPr>
      <w:pgSz w:w="11906" w:h="16838"/>
      <w:pgMar w:top="720" w:right="720" w:bottom="720" w:left="720" w:header="0" w:footer="0"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994FA5"/>
    <w:multiLevelType w:val="multilevel"/>
    <w:tmpl w:val="2F994FA5"/>
    <w:lvl w:ilvl="0" w:tentative="0">
      <w:start w:val="1"/>
      <w:numFmt w:val="japaneseCounting"/>
      <w:lvlText w:val="（%1）"/>
      <w:lvlJc w:val="left"/>
      <w:pPr>
        <w:ind w:left="1723" w:hanging="108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1">
    <w:nsid w:val="318206AD"/>
    <w:multiLevelType w:val="multilevel"/>
    <w:tmpl w:val="318206AD"/>
    <w:lvl w:ilvl="0" w:tentative="0">
      <w:start w:val="1"/>
      <w:numFmt w:val="japaneseCounting"/>
      <w:lvlText w:val="%1、"/>
      <w:lvlJc w:val="left"/>
      <w:pPr>
        <w:ind w:left="1360" w:hanging="720"/>
      </w:pPr>
      <w:rPr>
        <w:rFonts w:hint="default"/>
        <w:lang w:val="en-US"/>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9AC1E24"/>
    <w:multiLevelType w:val="multilevel"/>
    <w:tmpl w:val="79AC1E24"/>
    <w:lvl w:ilvl="0" w:tentative="0">
      <w:start w:val="1"/>
      <w:numFmt w:val="japaneseCounting"/>
      <w:lvlText w:val="（%1）"/>
      <w:lvlJc w:val="left"/>
      <w:pPr>
        <w:ind w:left="1080" w:hanging="1080"/>
      </w:pPr>
      <w:rPr>
        <w:rFonts w:hint="default"/>
        <w:lang w:val="en-US"/>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7B5828E3"/>
    <w:multiLevelType w:val="multilevel"/>
    <w:tmpl w:val="7B5828E3"/>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5ZTFjZmIwNjZiZDhiMzlhNzllNGRjYWMwMDUyNDYifQ=="/>
  </w:docVars>
  <w:rsids>
    <w:rsidRoot w:val="004506F9"/>
    <w:rsid w:val="0002229B"/>
    <w:rsid w:val="000273BD"/>
    <w:rsid w:val="000415B7"/>
    <w:rsid w:val="00041E3F"/>
    <w:rsid w:val="00055DAA"/>
    <w:rsid w:val="00061F7B"/>
    <w:rsid w:val="000658A3"/>
    <w:rsid w:val="00074155"/>
    <w:rsid w:val="00074541"/>
    <w:rsid w:val="00081922"/>
    <w:rsid w:val="000852B1"/>
    <w:rsid w:val="000873EF"/>
    <w:rsid w:val="000A3F69"/>
    <w:rsid w:val="000F58BB"/>
    <w:rsid w:val="00101579"/>
    <w:rsid w:val="00103957"/>
    <w:rsid w:val="00124A1F"/>
    <w:rsid w:val="00140DBD"/>
    <w:rsid w:val="00152C6D"/>
    <w:rsid w:val="00162D39"/>
    <w:rsid w:val="001678BD"/>
    <w:rsid w:val="00182373"/>
    <w:rsid w:val="001911F0"/>
    <w:rsid w:val="001A67DB"/>
    <w:rsid w:val="001B4128"/>
    <w:rsid w:val="001C3C29"/>
    <w:rsid w:val="001D51E5"/>
    <w:rsid w:val="001E080D"/>
    <w:rsid w:val="001E53D0"/>
    <w:rsid w:val="001F0C3B"/>
    <w:rsid w:val="001F2C76"/>
    <w:rsid w:val="00202C14"/>
    <w:rsid w:val="00202C82"/>
    <w:rsid w:val="00214427"/>
    <w:rsid w:val="00223A62"/>
    <w:rsid w:val="00225B6F"/>
    <w:rsid w:val="00226CB7"/>
    <w:rsid w:val="00236E45"/>
    <w:rsid w:val="002427A0"/>
    <w:rsid w:val="002459E7"/>
    <w:rsid w:val="00262ED1"/>
    <w:rsid w:val="00264552"/>
    <w:rsid w:val="00264BFB"/>
    <w:rsid w:val="00264EF9"/>
    <w:rsid w:val="00265724"/>
    <w:rsid w:val="00271537"/>
    <w:rsid w:val="0027426B"/>
    <w:rsid w:val="002A6C3D"/>
    <w:rsid w:val="002E0A30"/>
    <w:rsid w:val="002F747F"/>
    <w:rsid w:val="00311B15"/>
    <w:rsid w:val="003130C4"/>
    <w:rsid w:val="00316C4B"/>
    <w:rsid w:val="0032192B"/>
    <w:rsid w:val="003316C5"/>
    <w:rsid w:val="003463BA"/>
    <w:rsid w:val="003479BD"/>
    <w:rsid w:val="0035407B"/>
    <w:rsid w:val="0037197D"/>
    <w:rsid w:val="00375532"/>
    <w:rsid w:val="003768D5"/>
    <w:rsid w:val="003916B4"/>
    <w:rsid w:val="00391B43"/>
    <w:rsid w:val="003A026C"/>
    <w:rsid w:val="003C4197"/>
    <w:rsid w:val="003C47E6"/>
    <w:rsid w:val="003C4FC2"/>
    <w:rsid w:val="003E1135"/>
    <w:rsid w:val="003E2331"/>
    <w:rsid w:val="00415BE6"/>
    <w:rsid w:val="00416E61"/>
    <w:rsid w:val="004249C3"/>
    <w:rsid w:val="0042790C"/>
    <w:rsid w:val="004506F9"/>
    <w:rsid w:val="004717A2"/>
    <w:rsid w:val="00473DF3"/>
    <w:rsid w:val="00487911"/>
    <w:rsid w:val="00491741"/>
    <w:rsid w:val="004B0CEE"/>
    <w:rsid w:val="004B3E59"/>
    <w:rsid w:val="004C5CE3"/>
    <w:rsid w:val="004E04EF"/>
    <w:rsid w:val="004E6B81"/>
    <w:rsid w:val="00500E5F"/>
    <w:rsid w:val="005122EF"/>
    <w:rsid w:val="0051441A"/>
    <w:rsid w:val="00517C33"/>
    <w:rsid w:val="00517D5F"/>
    <w:rsid w:val="00521AF2"/>
    <w:rsid w:val="00523644"/>
    <w:rsid w:val="0053644A"/>
    <w:rsid w:val="0054069E"/>
    <w:rsid w:val="00544866"/>
    <w:rsid w:val="005767CC"/>
    <w:rsid w:val="00590D9F"/>
    <w:rsid w:val="00595D26"/>
    <w:rsid w:val="005A74E6"/>
    <w:rsid w:val="005B404E"/>
    <w:rsid w:val="005D2680"/>
    <w:rsid w:val="005D4D55"/>
    <w:rsid w:val="005E2CFB"/>
    <w:rsid w:val="005F2103"/>
    <w:rsid w:val="005F3D1C"/>
    <w:rsid w:val="00611E90"/>
    <w:rsid w:val="0062378F"/>
    <w:rsid w:val="00641842"/>
    <w:rsid w:val="00641D67"/>
    <w:rsid w:val="00651EEC"/>
    <w:rsid w:val="006565D5"/>
    <w:rsid w:val="00682098"/>
    <w:rsid w:val="00686673"/>
    <w:rsid w:val="00691E8C"/>
    <w:rsid w:val="00696E3A"/>
    <w:rsid w:val="006A22C4"/>
    <w:rsid w:val="006A348B"/>
    <w:rsid w:val="006A351B"/>
    <w:rsid w:val="006B0422"/>
    <w:rsid w:val="006C1B53"/>
    <w:rsid w:val="006D7730"/>
    <w:rsid w:val="006E5284"/>
    <w:rsid w:val="006F3EB5"/>
    <w:rsid w:val="00702E34"/>
    <w:rsid w:val="00704395"/>
    <w:rsid w:val="007079A9"/>
    <w:rsid w:val="00710FE7"/>
    <w:rsid w:val="00717621"/>
    <w:rsid w:val="00720FF1"/>
    <w:rsid w:val="00727A53"/>
    <w:rsid w:val="007449F5"/>
    <w:rsid w:val="0078089F"/>
    <w:rsid w:val="00785583"/>
    <w:rsid w:val="00787B42"/>
    <w:rsid w:val="00793558"/>
    <w:rsid w:val="007B6396"/>
    <w:rsid w:val="007C4539"/>
    <w:rsid w:val="007C7079"/>
    <w:rsid w:val="007E767C"/>
    <w:rsid w:val="007F3657"/>
    <w:rsid w:val="00805E4E"/>
    <w:rsid w:val="00812ED5"/>
    <w:rsid w:val="008277D9"/>
    <w:rsid w:val="0084478C"/>
    <w:rsid w:val="00856471"/>
    <w:rsid w:val="0086638C"/>
    <w:rsid w:val="008A3E8D"/>
    <w:rsid w:val="008E5548"/>
    <w:rsid w:val="008E7E5C"/>
    <w:rsid w:val="008F6811"/>
    <w:rsid w:val="0090420E"/>
    <w:rsid w:val="009237C4"/>
    <w:rsid w:val="0093343B"/>
    <w:rsid w:val="009424D6"/>
    <w:rsid w:val="009437F7"/>
    <w:rsid w:val="00944C48"/>
    <w:rsid w:val="00950252"/>
    <w:rsid w:val="00967F5D"/>
    <w:rsid w:val="00976591"/>
    <w:rsid w:val="009A0F95"/>
    <w:rsid w:val="009A2EFD"/>
    <w:rsid w:val="009A5871"/>
    <w:rsid w:val="009B3ADF"/>
    <w:rsid w:val="009C2548"/>
    <w:rsid w:val="009C3B52"/>
    <w:rsid w:val="009E6817"/>
    <w:rsid w:val="009E6E9A"/>
    <w:rsid w:val="009F08FC"/>
    <w:rsid w:val="009F4B20"/>
    <w:rsid w:val="00A01D2B"/>
    <w:rsid w:val="00A01E4E"/>
    <w:rsid w:val="00A10A5F"/>
    <w:rsid w:val="00A11345"/>
    <w:rsid w:val="00A313DF"/>
    <w:rsid w:val="00A42218"/>
    <w:rsid w:val="00A51AB7"/>
    <w:rsid w:val="00A70249"/>
    <w:rsid w:val="00A70B02"/>
    <w:rsid w:val="00A71D9F"/>
    <w:rsid w:val="00A905C3"/>
    <w:rsid w:val="00A92E9F"/>
    <w:rsid w:val="00AA2ED7"/>
    <w:rsid w:val="00AA407E"/>
    <w:rsid w:val="00AE45E0"/>
    <w:rsid w:val="00B04E32"/>
    <w:rsid w:val="00B33BEA"/>
    <w:rsid w:val="00B364CC"/>
    <w:rsid w:val="00B4241A"/>
    <w:rsid w:val="00B57C9F"/>
    <w:rsid w:val="00B63572"/>
    <w:rsid w:val="00B80B61"/>
    <w:rsid w:val="00B845B3"/>
    <w:rsid w:val="00B85D8B"/>
    <w:rsid w:val="00BA0709"/>
    <w:rsid w:val="00BB4A40"/>
    <w:rsid w:val="00BB53AD"/>
    <w:rsid w:val="00BD6C3E"/>
    <w:rsid w:val="00BE3674"/>
    <w:rsid w:val="00C03EC3"/>
    <w:rsid w:val="00C10681"/>
    <w:rsid w:val="00C13DE7"/>
    <w:rsid w:val="00C3049A"/>
    <w:rsid w:val="00C31B1E"/>
    <w:rsid w:val="00C535C0"/>
    <w:rsid w:val="00C77645"/>
    <w:rsid w:val="00CC0B07"/>
    <w:rsid w:val="00CE04C3"/>
    <w:rsid w:val="00CE76A0"/>
    <w:rsid w:val="00D10D28"/>
    <w:rsid w:val="00D148C6"/>
    <w:rsid w:val="00D17A8A"/>
    <w:rsid w:val="00D34375"/>
    <w:rsid w:val="00D378B8"/>
    <w:rsid w:val="00D415BA"/>
    <w:rsid w:val="00D63780"/>
    <w:rsid w:val="00D644EE"/>
    <w:rsid w:val="00D64904"/>
    <w:rsid w:val="00D71D67"/>
    <w:rsid w:val="00D75489"/>
    <w:rsid w:val="00D873D6"/>
    <w:rsid w:val="00DB19B9"/>
    <w:rsid w:val="00DB301A"/>
    <w:rsid w:val="00DC6168"/>
    <w:rsid w:val="00DD06FF"/>
    <w:rsid w:val="00DD5FE9"/>
    <w:rsid w:val="00DE236D"/>
    <w:rsid w:val="00E00C7A"/>
    <w:rsid w:val="00E209CF"/>
    <w:rsid w:val="00E32347"/>
    <w:rsid w:val="00E3604E"/>
    <w:rsid w:val="00E37D6C"/>
    <w:rsid w:val="00E55B68"/>
    <w:rsid w:val="00E67294"/>
    <w:rsid w:val="00E67BE6"/>
    <w:rsid w:val="00E8683C"/>
    <w:rsid w:val="00EA2B72"/>
    <w:rsid w:val="00EA6CD3"/>
    <w:rsid w:val="00ED6FD7"/>
    <w:rsid w:val="00EE0959"/>
    <w:rsid w:val="00F03F7A"/>
    <w:rsid w:val="00F25248"/>
    <w:rsid w:val="00F54F93"/>
    <w:rsid w:val="00F74360"/>
    <w:rsid w:val="00FB32D6"/>
    <w:rsid w:val="00FB462F"/>
    <w:rsid w:val="00FD0450"/>
    <w:rsid w:val="00FE07B4"/>
    <w:rsid w:val="00FE16FA"/>
    <w:rsid w:val="00FE328A"/>
    <w:rsid w:val="00FE6269"/>
    <w:rsid w:val="00FF144F"/>
    <w:rsid w:val="00FF5CD6"/>
    <w:rsid w:val="073C31C4"/>
    <w:rsid w:val="39070FD4"/>
    <w:rsid w:val="3C9A795D"/>
    <w:rsid w:val="3E391C30"/>
    <w:rsid w:val="452B7DF8"/>
    <w:rsid w:val="51505C0D"/>
    <w:rsid w:val="5B465534"/>
    <w:rsid w:val="66E71979"/>
    <w:rsid w:val="6AD96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页眉 Char"/>
    <w:basedOn w:val="7"/>
    <w:link w:val="4"/>
    <w:uiPriority w:val="99"/>
    <w:rPr>
      <w:sz w:val="18"/>
      <w:szCs w:val="18"/>
    </w:rPr>
  </w:style>
  <w:style w:type="character" w:customStyle="1" w:styleId="9">
    <w:name w:val="页脚 Char"/>
    <w:basedOn w:val="7"/>
    <w:link w:val="3"/>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2DFD-B622-4F74-89CC-94D0517B2B0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2434</Words>
  <Characters>13880</Characters>
  <Lines>115</Lines>
  <Paragraphs>32</Paragraphs>
  <TotalTime>5</TotalTime>
  <ScaleCrop>false</ScaleCrop>
  <LinksUpToDate>false</LinksUpToDate>
  <CharactersWithSpaces>16282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勇</cp:lastModifiedBy>
  <cp:lastPrinted>2022-07-27T12:55:00Z</cp:lastPrinted>
  <dcterms:modified xsi:type="dcterms:W3CDTF">2023-09-25T08:52:55Z</dcterms:modified>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C1F707C32C6545E0AC88EFD43C4B09EE_12</vt:lpwstr>
  </property>
</Properties>
</file>